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spacing w:before="120" w:beforeAutospacing="0" w:after="120" w:afterAutospacing="0" w:line="360" w:lineRule="auto"/>
        <w:rPr>
          <w:highlight w:val="none"/>
        </w:rPr>
      </w:pPr>
      <w:r>
        <w:rPr>
          <w:highlight w:val="none"/>
        </w:rPr>
        <w:t xml:space="preserve"> </w:t>
      </w:r>
      <w:r/>
    </w:p>
    <w:p>
      <w:pPr>
        <w:pStyle w:val="869"/>
        <w:spacing w:before="120" w:beforeAutospacing="0" w:after="120" w:afterAutospacing="0" w:line="360" w:lineRule="auto"/>
        <w:rPr>
          <w:highlight w:val="none"/>
        </w:rPr>
      </w:pPr>
      <w:r>
        <w:rPr>
          <w:highlight w:val="none"/>
        </w:rPr>
      </w:r>
      <w:r/>
    </w:p>
    <w:p>
      <w:pPr>
        <w:pStyle w:val="869"/>
        <w:spacing w:before="120" w:beforeAutospacing="0" w:after="120" w:afterAutospacing="0" w:line="360" w:lineRule="auto"/>
        <w:rPr>
          <w:highlight w:val="none"/>
        </w:rPr>
      </w:pPr>
      <w:r>
        <w:rPr>
          <w:highlight w:val="none"/>
        </w:rPr>
      </w:r>
      <w:r/>
    </w:p>
    <w:p>
      <w:pPr>
        <w:pStyle w:val="869"/>
        <w:spacing w:before="120" w:beforeAutospacing="0" w:after="120" w:afterAutospacing="0" w:line="360" w:lineRule="auto"/>
        <w:rPr>
          <w:highlight w:val="none"/>
        </w:rPr>
      </w:pPr>
      <w:r>
        <w:rPr>
          <w:highlight w:val="none"/>
        </w:rPr>
      </w:r>
      <w:r/>
    </w:p>
    <w:p>
      <w:pPr>
        <w:pStyle w:val="869"/>
        <w:spacing w:before="120" w:beforeAutospacing="0" w:after="120" w:afterAutospacing="0" w:line="360" w:lineRule="auto"/>
        <w:rPr>
          <w:highlight w:val="none"/>
        </w:rPr>
      </w:pPr>
      <w:r>
        <w:rPr>
          <w:highlight w:val="none"/>
        </w:rPr>
      </w:r>
      <w:r/>
    </w:p>
    <w:p>
      <w:pPr>
        <w:pStyle w:val="869"/>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92"/>
        <w:ind w:firstLine="0"/>
        <w:jc w:val="both"/>
        <w:keepLines w:val="0"/>
        <w:keepNext w:val="0"/>
        <w:pageBreakBefore w:val="0"/>
        <w:spacing w:before="120" w:beforeAutospacing="0" w:after="120" w:afterAutospacing="0" w:line="360" w:lineRule="auto"/>
        <w:widowControl w:val="off"/>
        <w:rPr>
          <w:rFonts w:hint="eastAsia" w:ascii="Arial" w:hAnsi="Arial" w:cs="Arial"/>
          <w:b/>
          <w:color w:val="000000"/>
          <w:sz w:val="32"/>
          <w:szCs w:val="32"/>
          <w:lang w:eastAsia="zh-CN"/>
        </w:rPr>
      </w:pPr>
      <w:r>
        <w:rPr>
          <w:rFonts w:hint="eastAsia" w:ascii="Arial" w:hAnsi="Arial" w:cs="Arial"/>
          <w:b/>
          <w:color w:val="000000"/>
          <w:sz w:val="32"/>
          <w:szCs w:val="32"/>
          <w:lang w:eastAsia="zh-CN"/>
        </w:rPr>
      </w:r>
      <w:r/>
    </w:p>
    <w:p>
      <w:pPr>
        <w:pStyle w:val="892"/>
        <w:ind w:firstLine="0"/>
        <w:jc w:val="both"/>
        <w:keepLines w:val="0"/>
        <w:keepNext w:val="0"/>
        <w:pageBreakBefore w:val="0"/>
        <w:spacing w:before="120" w:beforeAutospacing="0" w:after="120" w:afterAutospacing="0" w:line="360" w:lineRule="auto"/>
        <w:widowControl w:val="off"/>
        <w:rPr>
          <w:rFonts w:hint="eastAsia" w:ascii="Arial" w:hAnsi="Arial" w:cs="Arial"/>
          <w:b/>
          <w:color w:val="0000ff"/>
          <w:sz w:val="32"/>
          <w:szCs w:val="32"/>
          <w:lang w:eastAsia="zh-CN"/>
        </w:rPr>
      </w:pPr>
      <w:r>
        <w:rPr>
          <w:rFonts w:hint="eastAsia" w:ascii="Arial" w:hAnsi="Arial" w:cs="Arial"/>
          <w:b/>
          <w:color w:val="000000"/>
          <w:sz w:val="32"/>
          <w:szCs w:val="32"/>
          <w:lang w:eastAsia="zh-CN"/>
        </w:rPr>
        <w:t xml:space="preserve">项目名称：</w:t>
      </w:r>
      <w:r>
        <w:rPr>
          <w:rFonts w:hint="eastAsia" w:ascii="Arial" w:hAnsi="Arial" w:cs="Arial"/>
          <w:b/>
          <w:color w:val="auto"/>
          <w:sz w:val="32"/>
          <w:szCs w:val="32"/>
          <w:lang w:eastAsia="zh-CN"/>
        </w:rPr>
        <w:t xml:space="preserve">江苏省盐城技师学院建筑机器人一体化学习工作站采购项目</w:t>
      </w:r>
      <w:r/>
    </w:p>
    <w:p>
      <w:pPr>
        <w:pStyle w:val="892"/>
        <w:ind w:firstLine="0"/>
        <w:jc w:val="both"/>
        <w:keepLines w:val="0"/>
        <w:keepNext w:val="0"/>
        <w:pageBreakBefore w:val="0"/>
        <w:spacing w:before="120" w:beforeAutospacing="0" w:after="120" w:afterAutospacing="0" w:line="360" w:lineRule="auto"/>
        <w:widowControl w:val="off"/>
        <w:rPr>
          <w:highlight w:val="none"/>
          <w:lang w:val="en-US"/>
        </w:rPr>
      </w:pPr>
      <w:r>
        <w:rPr>
          <w:rFonts w:ascii="Arial" w:hAnsi="Arial" w:cs="Arial"/>
          <w:b/>
          <w:color w:val="000000"/>
          <w:sz w:val="32"/>
          <w:szCs w:val="32"/>
          <w:highlight w:val="none"/>
        </w:rPr>
        <w:t xml:space="preserve">项目编号：</w:t>
      </w:r>
      <w:r>
        <w:rPr>
          <w:rFonts w:hint="eastAsia" w:ascii="Arial" w:hAnsi="Arial" w:cs="Arial"/>
          <w:b/>
          <w:color w:val="000000"/>
          <w:sz w:val="32"/>
          <w:szCs w:val="32"/>
          <w:lang w:eastAsia="zh-CN"/>
        </w:rPr>
        <w:t xml:space="preserve">JSZC-320900-JSJW-G2025-0092</w:t>
      </w:r>
      <w:r/>
    </w:p>
    <w:p>
      <w:pPr>
        <w:pStyle w:val="869"/>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69"/>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69"/>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69"/>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69"/>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69"/>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69"/>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69"/>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93"/>
        <w:jc w:val="center"/>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t xml:space="preserve">江苏省盐城技师学院</w:t>
      </w:r>
      <w:r/>
    </w:p>
    <w:p>
      <w:pPr>
        <w:pStyle w:val="892"/>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12</w:t>
      </w:r>
      <w:r>
        <w:rPr>
          <w:rFonts w:ascii="Arial" w:hAnsi="Arial" w:cs="Arial"/>
          <w:b/>
          <w:color w:val="000000"/>
          <w:sz w:val="32"/>
          <w:szCs w:val="32"/>
          <w:highlight w:val="none"/>
        </w:rPr>
        <w:t xml:space="preserve">月</w:t>
      </w:r>
      <w:r/>
    </w:p>
    <w:p>
      <w:pPr>
        <w:pStyle w:val="869"/>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479757206"/>
      <w:r/>
      <w:bookmarkStart w:id="1" w:name="_Toc523127445"/>
      <w:r/>
      <w:bookmarkStart w:id="2" w:name="_Toc513029200"/>
      <w:r/>
      <w:bookmarkStart w:id="3" w:name="_Toc16938516"/>
      <w:r/>
      <w:bookmarkStart w:id="4" w:name="_Toc120614210"/>
      <w:r/>
      <w:bookmarkStart w:id="5" w:name="_Toc20823272"/>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69"/>
        <w:jc w:val="both"/>
        <w:spacing w:beforeAutospacing="0" w:afterAutospacing="0" w:line="480" w:lineRule="auto"/>
        <w:rPr>
          <w:highlight w:val="none"/>
        </w:rPr>
      </w:pPr>
      <w:r>
        <w:rPr>
          <w:highlight w:val="none"/>
        </w:rPr>
        <w:t xml:space="preserve"> </w:t>
      </w:r>
      <w:r/>
    </w:p>
    <w:p>
      <w:pPr>
        <w:pStyle w:val="869"/>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3</w:t>
      </w:r>
      <w:r/>
    </w:p>
    <w:p>
      <w:pPr>
        <w:pStyle w:val="869"/>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7</w:t>
      </w:r>
      <w:r/>
    </w:p>
    <w:p>
      <w:pPr>
        <w:pStyle w:val="869"/>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23</w:t>
      </w:r>
      <w:r/>
    </w:p>
    <w:p>
      <w:pPr>
        <w:pStyle w:val="869"/>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56</w:t>
      </w:r>
      <w:r/>
    </w:p>
    <w:p>
      <w:pPr>
        <w:pStyle w:val="869"/>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69</w:t>
      </w:r>
      <w:r/>
    </w:p>
    <w:p>
      <w:pPr>
        <w:pStyle w:val="869"/>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74</w:t>
      </w:r>
      <w:r/>
    </w:p>
    <w:p>
      <w:pPr>
        <w:pStyle w:val="869"/>
        <w:jc w:val="both"/>
        <w:spacing w:beforeAutospacing="0" w:afterAutospacing="0"/>
        <w:rPr>
          <w:highlight w:val="none"/>
        </w:rPr>
      </w:pPr>
      <w:r>
        <w:rPr>
          <w:highlight w:val="none"/>
        </w:rPr>
        <w:t xml:space="preserve"> </w:t>
      </w:r>
      <w:r/>
    </w:p>
    <w:p>
      <w:pPr>
        <w:rPr>
          <w:rFonts w:hint="eastAsia" w:ascii="黑体" w:hAnsi="宋体" w:eastAsia="黑体" w:cs="黑体"/>
          <w:color w:val="000000"/>
          <w:sz w:val="44"/>
          <w:szCs w:val="44"/>
          <w:highlight w:val="none"/>
        </w:rPr>
      </w:pPr>
      <w:r/>
      <w:bookmarkStart w:id="6" w:name="_Toc28359086"/>
      <w:r>
        <w:rPr>
          <w:rFonts w:hint="eastAsia" w:ascii="黑体" w:hAnsi="宋体" w:eastAsia="黑体" w:cs="黑体"/>
          <w:color w:val="000000"/>
          <w:sz w:val="44"/>
          <w:szCs w:val="44"/>
          <w:highlight w:val="none"/>
        </w:rPr>
        <w:br w:type="page" w:clear="all"/>
      </w:r>
      <w:r/>
    </w:p>
    <w:p>
      <w:pPr>
        <w:jc w:val="center"/>
        <w:rPr>
          <w:rFonts w:ascii="黑体" w:hAnsi="宋体" w:eastAsia="黑体" w:cs="黑体"/>
          <w:b/>
          <w:color w:val="000000"/>
          <w:sz w:val="44"/>
          <w:szCs w:val="44"/>
          <w:highlight w:val="none"/>
          <w:lang w:val="en-US" w:eastAsia="zh-CN"/>
        </w:rPr>
      </w:pPr>
      <w:r/>
      <w:bookmarkStart w:id="7" w:name="_Toc28359018"/>
      <w:r>
        <w:rPr>
          <w:rFonts w:hint="eastAsia" w:ascii="黑体" w:hAnsi="宋体" w:eastAsia="黑体" w:cs="黑体"/>
          <w:b/>
          <w:color w:val="000000"/>
          <w:sz w:val="44"/>
          <w:szCs w:val="44"/>
          <w:highlight w:val="none"/>
        </w:rPr>
        <w:t xml:space="preserve">第一章</w:t>
      </w:r>
      <w:r>
        <w:rPr>
          <w:rFonts w:hint="eastAsia" w:ascii="黑体" w:hAnsi="宋体" w:eastAsia="黑体" w:cs="黑体"/>
          <w:b/>
          <w:color w:val="000000"/>
          <w:sz w:val="44"/>
          <w:szCs w:val="44"/>
          <w:highlight w:val="none"/>
          <w:lang w:val="en-US" w:eastAsia="zh-CN"/>
        </w:rPr>
        <w:t xml:space="preserve">   招标公告</w:t>
      </w:r>
      <w:r/>
    </w:p>
    <w:p>
      <w:pPr>
        <w:pStyle w:val="892"/>
        <w:ind w:firstLine="480"/>
        <w:jc w:val="both"/>
        <w:pageBreakBefore w:val="0"/>
        <w:spacing w:beforeAutospacing="0" w:afterAutospacing="0" w:line="48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92"/>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u w:val="single"/>
          <w:lang w:eastAsia="zh-CN"/>
        </w:rPr>
        <w:t xml:space="preserve">江苏省盐城技师学院建筑机器人一体化学习工作站采购项目</w:t>
      </w:r>
      <w:r>
        <w:rPr>
          <w:rFonts w:hint="eastAsia" w:ascii="宋体" w:hAnsi="宋体" w:cs="宋体"/>
          <w:i w:val="0"/>
          <w:iCs w:val="0"/>
          <w:caps w:val="0"/>
          <w:color w:val="333333"/>
          <w:spacing w:val="0"/>
          <w:sz w:val="24"/>
          <w:szCs w:val="24"/>
          <w:highlight w:val="none"/>
          <w:shd w:val="clear" w:color="auto" w:fill="ffffff"/>
          <w:lang w:eastAsia="zh-CN"/>
        </w:rPr>
        <w:t xml:space="preserve">JSZC-320900-JSJW-G2025-0092</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w:t>
      </w:r>
      <w:r>
        <w:rPr>
          <w:rFonts w:hint="eastAsia" w:ascii="宋体" w:hAnsi="宋体" w:eastAsia="宋体" w:cs="宋体"/>
          <w:i w:val="0"/>
          <w:iCs w:val="0"/>
          <w:caps w:val="0"/>
          <w:color w:val="auto"/>
          <w:spacing w:val="0"/>
          <w:sz w:val="24"/>
          <w:szCs w:val="24"/>
          <w:highlight w:val="none"/>
          <w:shd w:val="clear" w:color="auto" w:fill="ffffff"/>
        </w:rPr>
        <w:t xml:space="preserve">载（投标</w:t>
      </w:r>
      <w:r>
        <w:rPr>
          <w:rFonts w:hint="eastAsia" w:ascii="宋体" w:hAnsi="宋体" w:eastAsia="宋体" w:cs="宋体"/>
          <w:i w:val="0"/>
          <w:iCs w:val="0"/>
          <w:caps w:val="0"/>
          <w:color w:val="auto"/>
          <w:spacing w:val="0"/>
          <w:sz w:val="24"/>
          <w:szCs w:val="24"/>
          <w:highlight w:val="none"/>
          <w:shd w:val="clear" w:color="auto" w:fill="ffffff"/>
        </w:rPr>
        <w:t xml:space="preserve">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892"/>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8" w:name="_Toc28359079"/>
      <w:r/>
      <w:bookmarkStart w:id="9" w:name="_Toc35393790"/>
      <w:r/>
      <w:bookmarkStart w:id="10" w:name="_Toc38985263"/>
      <w:r/>
      <w:bookmarkStart w:id="11" w:name="_Hlk24379207"/>
      <w:r/>
      <w:bookmarkStart w:id="12" w:name="_Toc35393621"/>
      <w:r/>
      <w:bookmarkStart w:id="13" w:name="_Toc28359002"/>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892"/>
        <w:ind w:firstLine="480"/>
        <w:jc w:val="both"/>
        <w:pageBreakBefore w:val="0"/>
        <w:spacing w:beforeAutospacing="0" w:afterAutospacing="0" w:line="480" w:lineRule="exact"/>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rPr>
          <w:rFonts w:hint="eastAsia" w:ascii="宋体" w:hAnsi="宋体" w:cs="宋体"/>
          <w:i w:val="0"/>
          <w:iCs w:val="0"/>
          <w:caps w:val="0"/>
          <w:color w:val="auto"/>
          <w:spacing w:val="0"/>
          <w:sz w:val="24"/>
          <w:szCs w:val="24"/>
          <w:highlight w:val="none"/>
          <w:shd w:val="clear" w:color="auto" w:fill="ffffff"/>
          <w:lang w:eastAsia="zh-CN"/>
        </w:rPr>
        <w:t xml:space="preserve">JSZC-320900-JSJW-G2025-0092</w:t>
      </w:r>
      <w:r/>
    </w:p>
    <w:p>
      <w:pPr>
        <w:pStyle w:val="892"/>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cs="宋体"/>
          <w:color w:val="auto"/>
          <w:sz w:val="24"/>
          <w:szCs w:val="24"/>
          <w:highlight w:val="none"/>
          <w:shd w:val="clear" w:color="auto" w:fill="auto"/>
          <w:lang w:eastAsia="zh-CN"/>
        </w:rPr>
        <w:t xml:space="preserve">江苏省盐城技师学院建筑机器人一体化学习工作站采购项目</w:t>
      </w:r>
      <w:r/>
    </w:p>
    <w:p>
      <w:pPr>
        <w:pStyle w:val="892"/>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92"/>
        <w:ind w:firstLine="480"/>
        <w:jc w:val="both"/>
        <w:pageBreakBefore w:val="0"/>
        <w:spacing w:beforeAutospacing="0" w:afterAutospacing="0" w:line="480" w:lineRule="exact"/>
        <w:rPr>
          <w:rFonts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.预算金额：293.2</w:t>
      </w:r>
      <w:r>
        <w:rPr>
          <w:rFonts w:hint="eastAsia" w:ascii="宋体" w:hAnsi="宋体" w:eastAsia="宋体" w:cs="宋体"/>
          <w:color w:val="auto"/>
          <w:sz w:val="24"/>
          <w:szCs w:val="24"/>
          <w:highlight w:val="none"/>
          <w:lang w:val="en-US" w:eastAsia="zh-CN"/>
        </w:rPr>
        <w:t xml:space="preserve">万元</w:t>
      </w:r>
      <w:r/>
    </w:p>
    <w:p>
      <w:pPr>
        <w:pStyle w:val="892"/>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ffffff" w:fill="d9d9d9"/>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最高限价（如有）：</w:t>
      </w:r>
      <w:r>
        <w:rPr>
          <w:rFonts w:hint="eastAsia" w:ascii="宋体" w:hAnsi="宋体" w:eastAsia="宋体" w:cs="宋体"/>
          <w:color w:val="auto"/>
          <w:sz w:val="24"/>
          <w:szCs w:val="24"/>
          <w:highlight w:val="none"/>
        </w:rPr>
        <w:t xml:space="preserve">293.2</w:t>
      </w:r>
      <w:r>
        <w:rPr>
          <w:rFonts w:hint="eastAsia" w:ascii="宋体" w:hAnsi="宋体" w:eastAsia="宋体" w:cs="宋体"/>
          <w:color w:val="auto"/>
          <w:sz w:val="24"/>
          <w:szCs w:val="24"/>
          <w:highlight w:val="none"/>
          <w:lang w:val="en-US" w:eastAsia="zh-CN"/>
        </w:rPr>
        <w:t xml:space="preserve">万元</w:t>
      </w:r>
      <w:r/>
    </w:p>
    <w:p>
      <w:pPr>
        <w:pStyle w:val="892"/>
        <w:ind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w:t>
      </w:r>
      <w:r>
        <w:rPr>
          <w:rFonts w:hint="eastAsia" w:ascii="宋体" w:hAnsi="宋体" w:cs="宋体"/>
          <w:color w:val="auto"/>
          <w:sz w:val="24"/>
          <w:szCs w:val="24"/>
          <w:highlight w:val="none"/>
          <w:shd w:val="clear" w:color="auto" w:fill="auto"/>
          <w:lang w:eastAsia="zh-CN"/>
        </w:rPr>
        <w:t xml:space="preserve">江苏省盐城技师学院建筑机器人一体化学习工作站采购项目</w:t>
      </w:r>
      <w:r>
        <w:rPr>
          <w:rFonts w:hint="eastAsia" w:ascii="宋体" w:hAnsi="宋体" w:eastAsia="宋体" w:cs="宋体"/>
          <w:color w:val="auto"/>
          <w:sz w:val="24"/>
          <w:szCs w:val="24"/>
          <w:highlight w:val="none"/>
          <w:lang w:val="en-US" w:eastAsia="zh-CN"/>
        </w:rPr>
        <w:t xml:space="preserve">，详细内容</w:t>
      </w:r>
      <w:r>
        <w:rPr>
          <w:rFonts w:hint="eastAsia" w:ascii="宋体" w:hAnsi="宋体" w:eastAsia="宋体" w:cs="宋体"/>
          <w:color w:val="auto"/>
          <w:sz w:val="24"/>
          <w:szCs w:val="24"/>
          <w:highlight w:val="none"/>
        </w:rPr>
        <w:t xml:space="preserve">见本招标文件第四章。</w:t>
      </w:r>
      <w:r/>
    </w:p>
    <w:p>
      <w:pPr>
        <w:pStyle w:val="892"/>
        <w:ind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合同生效后90个日历天（此期限不包括采购人验收时间），供应商应在此期限内完成全部货物的交付、安装与调试。</w:t>
      </w:r>
      <w:r/>
    </w:p>
    <w:p>
      <w:pPr>
        <w:pStyle w:val="892"/>
        <w:ind w:firstLine="480"/>
        <w:jc w:val="both"/>
        <w:pageBreakBefore w:val="0"/>
        <w:spacing w:beforeAutospacing="0" w:afterAutospacing="0" w:line="480" w:lineRule="exact"/>
        <w:rPr>
          <w:rFonts w:ascii="宋体" w:hAnsi="宋体" w:eastAsia="宋体" w:cs="宋体"/>
          <w:color w:val="auto"/>
          <w:sz w:val="24"/>
          <w:szCs w:val="24"/>
          <w:highlight w:val="none"/>
          <w:shd w:val="clear" w:color="auto" w:fill="ffff00"/>
          <w:lang w:val="en-US"/>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8.本项目（是/否）接受联合体投标：否</w:t>
      </w:r>
      <w:r/>
    </w:p>
    <w:p>
      <w:pPr>
        <w:pStyle w:val="892"/>
        <w:ind w:firstLine="482"/>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4" w:name="_Toc35393791"/>
      <w:r/>
      <w:bookmarkStart w:id="15" w:name="_Toc28359080"/>
      <w:r/>
      <w:bookmarkStart w:id="16" w:name="_Toc35393622"/>
      <w:r/>
      <w:bookmarkStart w:id="17" w:name="_Toc28359003"/>
      <w:r/>
      <w:bookmarkStart w:id="18" w:name="_Toc38985264"/>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892"/>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92"/>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1.1法人或者其他组织的营业执照等证明文件，自然人的身份证明；</w:t>
      </w:r>
      <w:r/>
    </w:p>
    <w:p>
      <w:pPr>
        <w:pStyle w:val="892"/>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92"/>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892"/>
        <w:ind w:firstLine="480"/>
        <w:jc w:val="both"/>
        <w:pageBreakBefore w:val="0"/>
        <w:spacing w:beforeAutospacing="0" w:afterAutospacing="0" w:line="480" w:lineRule="exact"/>
        <w:rPr>
          <w:rFonts w:hint="eastAsia" w:ascii="宋体" w:hAnsi="宋体" w:eastAsia="宋体" w:cs="宋体"/>
          <w:b/>
          <w:bCs/>
          <w:color w:val="000000"/>
          <w:sz w:val="24"/>
          <w:szCs w:val="24"/>
          <w:highlight w:val="none"/>
          <w:shd w:val="clear" w:color="auto" w:fill="auto"/>
          <w:lang w:eastAsia="zh-CN"/>
        </w:rPr>
      </w:pPr>
      <w:r>
        <w:rPr>
          <w:rFonts w:hint="eastAsia" w:ascii="宋体" w:hAnsi="宋体" w:eastAsia="宋体" w:cs="宋体"/>
          <w:b/>
          <w:bCs/>
          <w:color w:val="000000"/>
          <w:sz w:val="24"/>
          <w:szCs w:val="24"/>
          <w:highlight w:val="none"/>
          <w:shd w:val="clear" w:color="auto" w:fill="auto"/>
        </w:rPr>
        <w:t xml:space="preserve">2</w:t>
      </w:r>
      <w:r>
        <w:rPr>
          <w:rFonts w:hint="eastAsia" w:ascii="宋体" w:hAnsi="宋体" w:eastAsia="宋体" w:cs="宋体"/>
          <w:b/>
          <w:bCs/>
          <w:color w:val="000000"/>
          <w:sz w:val="24"/>
          <w:szCs w:val="24"/>
          <w:highlight w:val="none"/>
          <w:shd w:val="clear" w:color="auto" w:fill="auto"/>
          <w:lang w:val="en-US" w:eastAsia="zh-CN"/>
        </w:rPr>
        <w:t xml:space="preserve">.</w:t>
      </w:r>
      <w:r>
        <w:rPr>
          <w:rFonts w:hint="eastAsia" w:ascii="宋体" w:hAnsi="宋体" w:eastAsia="宋体" w:cs="宋体"/>
          <w:b/>
          <w:bCs/>
          <w:color w:val="000000"/>
          <w:sz w:val="24"/>
          <w:szCs w:val="24"/>
          <w:highlight w:val="none"/>
          <w:shd w:val="clear" w:color="auto" w:fill="auto"/>
        </w:rPr>
        <w:t xml:space="preserve">落实政府采购政策需满足的资格要求：本项目专门面向中小企业采购，标的所属行业为</w:t>
      </w:r>
      <w:r>
        <w:rPr>
          <w:rFonts w:hint="eastAsia" w:ascii="宋体" w:hAnsi="宋体" w:eastAsia="宋体" w:cs="宋体"/>
          <w:b/>
          <w:bCs/>
          <w:color w:val="000000"/>
          <w:sz w:val="24"/>
          <w:szCs w:val="24"/>
          <w:highlight w:val="none"/>
          <w:u w:val="single"/>
          <w:shd w:val="clear" w:color="auto" w:fill="auto"/>
        </w:rPr>
        <w:t xml:space="preserve">工业</w:t>
      </w:r>
      <w:r>
        <w:rPr>
          <w:rFonts w:hint="eastAsia" w:ascii="宋体" w:hAnsi="宋体" w:eastAsia="宋体" w:cs="宋体"/>
          <w:b w:val="0"/>
          <w:bCs w:val="0"/>
          <w:color w:val="000000"/>
          <w:sz w:val="24"/>
          <w:szCs w:val="24"/>
          <w:highlight w:val="none"/>
          <w:shd w:val="clear" w:color="auto" w:fill="auto"/>
        </w:rPr>
        <w:t xml:space="preserve">（中小企业划分标准详见《关于印发中小企业划型标准规定的通知》工信部联企业〔2011〕300号），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rPr>
          <w:rFonts w:hint="eastAsia" w:ascii="宋体" w:hAnsi="宋体" w:eastAsia="宋体" w:cs="宋体"/>
          <w:b w:val="0"/>
          <w:bCs w:val="0"/>
          <w:color w:val="000000"/>
          <w:sz w:val="24"/>
          <w:szCs w:val="24"/>
          <w:highlight w:val="none"/>
          <w:shd w:val="clear" w:color="auto" w:fill="auto"/>
          <w:lang w:val="en-US" w:eastAsia="zh-CN"/>
        </w:rPr>
        <w:t xml:space="preserve">。</w:t>
      </w:r>
      <w:r/>
    </w:p>
    <w:p>
      <w:pPr>
        <w:pStyle w:val="892"/>
        <w:ind w:firstLine="482"/>
        <w:jc w:val="both"/>
        <w:pageBreakBefore w:val="0"/>
        <w:spacing w:beforeAutospacing="0" w:afterAutospacing="0" w:line="480" w:lineRule="exact"/>
        <w:rPr>
          <w:rFonts w:hint="default"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本项目的特定资格要求</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cs="宋体"/>
          <w:b w:val="0"/>
          <w:bCs w:val="0"/>
          <w:color w:val="auto"/>
          <w:sz w:val="24"/>
          <w:szCs w:val="24"/>
          <w:highlight w:val="none"/>
          <w:shd w:val="clear" w:color="auto" w:fill="auto"/>
          <w:lang w:val="en-US" w:eastAsia="zh-CN"/>
        </w:rPr>
        <w:t xml:space="preserve">无。</w:t>
      </w:r>
      <w:r/>
    </w:p>
    <w:p>
      <w:pPr>
        <w:pStyle w:val="892"/>
        <w:ind w:firstLine="482"/>
        <w:jc w:val="both"/>
        <w:pageBreakBefore w:val="0"/>
        <w:spacing w:beforeAutospacing="0" w:afterAutospacing="0" w:line="48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bookmarkStart w:id="19" w:name="_Toc28359082"/>
      <w:r/>
      <w:bookmarkStart w:id="20" w:name="_Toc35393793"/>
      <w:r/>
      <w:bookmarkStart w:id="21" w:name="_Toc28359005"/>
      <w:r/>
      <w:bookmarkStart w:id="22" w:name="_Toc38985266"/>
      <w:r/>
      <w:bookmarkStart w:id="23" w:name="_Toc35393624"/>
      <w:r>
        <w:rPr>
          <w:rFonts w:hint="eastAsia" w:ascii="宋体" w:hAnsi="宋体" w:eastAsia="宋体" w:cs="宋体"/>
          <w:color w:val="000000"/>
          <w:sz w:val="24"/>
          <w:szCs w:val="24"/>
          <w:highlight w:val="none"/>
          <w:shd w:val="clear" w:color="auto" w:fill="auto"/>
          <w:lang w:val="en-US" w:eastAsia="zh-CN" w:bidi="ar-SA"/>
        </w:rPr>
        <w:t xml:space="preserve">1.时间：</w:t>
      </w:r>
      <w:bookmarkEnd w:id="19"/>
      <w:r/>
      <w:bookmarkEnd w:id="20"/>
      <w:r/>
      <w:bookmarkEnd w:id="21"/>
      <w:r/>
      <w:bookmarkEnd w:id="22"/>
      <w:r/>
      <w:bookmarkEnd w:id="23"/>
      <w:r>
        <w:rPr>
          <w:rFonts w:hint="eastAsia" w:ascii="宋体" w:hAnsi="宋体" w:eastAsia="宋体" w:cs="宋体"/>
          <w:color w:val="000000"/>
          <w:sz w:val="24"/>
          <w:szCs w:val="24"/>
          <w:highlight w:val="none"/>
          <w:shd w:val="clear" w:color="auto" w:fill="auto"/>
          <w:lang w:val="en-US" w:eastAsia="zh-CN" w:bidi="ar-SA"/>
        </w:rPr>
        <w:t xml:space="preserve">自招标文件公告发布之日起5个工作日</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3.方式：本项目采用网上注册登记方式，具体详见本公告其他补充事宜。</w:t>
      </w:r>
      <w:r/>
    </w:p>
    <w:p>
      <w:pPr>
        <w:ind w:firstLine="480"/>
        <w:jc w:val="left"/>
        <w:pageBreakBefore w:val="0"/>
        <w:spacing w:line="480" w:lineRule="exact"/>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892"/>
        <w:ind w:firstLine="482"/>
        <w:jc w:val="both"/>
        <w:keepLines/>
        <w:keepNext/>
        <w:pageBreakBefore w:val="0"/>
        <w:spacing w:beforeAutospacing="0" w:afterAutospacing="0" w:line="48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1.时</w:t>
      </w:r>
      <w:r>
        <w:rPr>
          <w:rFonts w:hint="eastAsia" w:ascii="宋体" w:hAnsi="宋体" w:eastAsia="宋体" w:cs="宋体"/>
          <w:color w:val="auto"/>
          <w:sz w:val="24"/>
          <w:szCs w:val="24"/>
          <w:highlight w:val="none"/>
          <w:shd w:val="clear" w:color="auto" w:fill="auto"/>
        </w:rPr>
        <w:t xml:space="preserve">间</w:t>
      </w:r>
      <w:r>
        <w:rPr>
          <w:rFonts w:hint="eastAsia" w:ascii="宋体" w:hAnsi="宋体" w:eastAsia="宋体" w:cs="宋体"/>
          <w:color w:val="auto"/>
          <w:sz w:val="24"/>
          <w:szCs w:val="24"/>
          <w:highlight w:val="none"/>
          <w:u w:val="none"/>
          <w:lang w:val="en-US" w:eastAsia="zh-CN"/>
        </w:rPr>
        <w:t xml:space="preserve">：2025年12月24日09点00分</w:t>
      </w:r>
      <w:r>
        <w:rPr>
          <w:rFonts w:hint="eastAsia" w:ascii="宋体" w:hAnsi="宋体" w:eastAsia="宋体" w:cs="宋体"/>
          <w:color w:val="000000"/>
          <w:sz w:val="24"/>
          <w:szCs w:val="24"/>
          <w:highlight w:val="none"/>
          <w:shd w:val="clear" w:color="auto" w:fill="auto"/>
        </w:rPr>
        <w:t xml:space="preserve">（北京时间）</w:t>
      </w:r>
      <w:r/>
    </w:p>
    <w:p>
      <w:pPr>
        <w:pStyle w:val="892"/>
        <w:ind w:firstLine="480"/>
        <w:jc w:val="both"/>
        <w:pageBreakBefore w:val="0"/>
        <w:spacing w:beforeAutospacing="0" w:afterAutospacing="0" w:line="48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w:t>
      </w:r>
      <w:r>
        <w:rPr>
          <w:rFonts w:hint="eastAsia" w:ascii="宋体" w:hAnsi="宋体" w:eastAsia="宋体" w:cs="宋体"/>
          <w:color w:val="000000"/>
          <w:sz w:val="24"/>
          <w:szCs w:val="24"/>
          <w:highlight w:val="none"/>
          <w:shd w:val="clear" w:color="auto" w:fill="auto"/>
          <w:lang w:eastAsia="zh-CN"/>
        </w:rPr>
        <w:t xml:space="preserve">。</w:t>
      </w:r>
      <w:r/>
    </w:p>
    <w:p>
      <w:pPr>
        <w:pStyle w:val="892"/>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24" w:name="_Toc35393625"/>
      <w:r/>
      <w:bookmarkStart w:id="25" w:name="_Toc28359007"/>
      <w:r/>
      <w:bookmarkStart w:id="26" w:name="_Toc38985267"/>
      <w:r/>
      <w:bookmarkStart w:id="27" w:name="_Toc35393794"/>
      <w:r/>
      <w:bookmarkStart w:id="28" w:name="_Toc28359084"/>
      <w:r>
        <w:rPr>
          <w:rFonts w:hint="eastAsia" w:ascii="宋体" w:hAnsi="宋体" w:eastAsia="宋体" w:cs="宋体"/>
          <w:b/>
          <w:color w:val="000000"/>
          <w:sz w:val="24"/>
          <w:szCs w:val="24"/>
          <w:highlight w:val="none"/>
        </w:rPr>
        <w:t xml:space="preserve">五、公告期限</w:t>
      </w:r>
      <w:bookmarkEnd w:id="24"/>
      <w:r/>
      <w:bookmarkEnd w:id="25"/>
      <w:r/>
      <w:bookmarkEnd w:id="26"/>
      <w:r/>
      <w:bookmarkEnd w:id="27"/>
      <w:r/>
      <w:bookmarkEnd w:id="28"/>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29" w:name="_Toc35393626"/>
      <w:r/>
      <w:bookmarkStart w:id="30" w:name="_Toc35393795"/>
      <w:r/>
      <w:bookmarkStart w:id="31" w:name="_Toc38985268"/>
      <w:r>
        <w:rPr>
          <w:rFonts w:hint="eastAsia" w:ascii="宋体" w:hAnsi="宋体" w:eastAsia="宋体" w:cs="宋体"/>
          <w:color w:val="000000"/>
          <w:sz w:val="24"/>
          <w:szCs w:val="24"/>
          <w:highlight w:val="none"/>
          <w:shd w:val="clear" w:color="auto" w:fill="auto"/>
          <w:lang w:val="en-US" w:eastAsia="zh-CN"/>
        </w:rPr>
        <w:t xml:space="preserve">自本公告发布之日起5个工作日。</w:t>
      </w:r>
      <w:bookmarkEnd w:id="29"/>
      <w:r/>
      <w:bookmarkEnd w:id="30"/>
      <w:r/>
      <w:bookmarkEnd w:id="31"/>
      <w:r/>
      <w:r/>
    </w:p>
    <w:p>
      <w:pPr>
        <w:pStyle w:val="892"/>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 潜在投标人访问“苏采云”系统方法：江苏省政府采购网首页-“苏采云”链接。 </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 采购文件（后缀名为“.kedt”）、供应商操作手册及政府采购客户端 工具可通过“苏采云”系统相应链接进行下载。 </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 采购代理机构将数据电文形式的采购文件加载至“苏采云”系统，供潜在供应商下载或者查阅。 </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如潜在投标人未按上述要求操作，将自行承担所产生的风险。</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3.有关本次招标的事项若存在变动或修改，敬请及时关注江苏建威建设管理有限公司在“中国政府采购网”“江苏政府采购网”“盐城市政府采购网”发布的更正公告。</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4.本次招标不收取投标保证金，不收取质量保证金。</w:t>
      </w:r>
      <w:bookmarkEnd w:id="7"/>
      <w:r/>
      <w:r/>
    </w:p>
    <w:p>
      <w:pPr>
        <w:pStyle w:val="892"/>
        <w:ind w:firstLine="482"/>
        <w:jc w:val="both"/>
        <w:keepLines/>
        <w:keepNext/>
        <w:pageBreakBefore w:val="0"/>
        <w:spacing w:beforeAutospacing="0" w:afterAutospacing="0"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、对本次</w:t>
      </w:r>
      <w:r>
        <w:rPr>
          <w:rFonts w:hint="eastAsia" w:ascii="宋体" w:hAnsi="宋体" w:eastAsia="宋体" w:cs="宋体"/>
          <w:b/>
          <w:color w:val="000000"/>
          <w:sz w:val="24"/>
          <w:szCs w:val="24"/>
          <w:highlight w:val="none"/>
          <w:lang w:val="en-US" w:eastAsia="zh-CN"/>
        </w:rPr>
        <w:t xml:space="preserve">招标</w:t>
      </w:r>
      <w:r>
        <w:rPr>
          <w:rFonts w:hint="eastAsia" w:ascii="宋体" w:hAnsi="宋体" w:eastAsia="宋体" w:cs="宋体"/>
          <w:b/>
          <w:color w:val="000000"/>
          <w:sz w:val="24"/>
          <w:szCs w:val="24"/>
          <w:highlight w:val="none"/>
        </w:rPr>
        <w:t xml:space="preserve">提出询问，请按以下方式联系。</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1.采购人信息</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称：江苏省盐城技师学院</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地址：盐城市盐都区海洋路29号</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联系人：王老师</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联系方式：13056150848</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2.采购代理机构信息</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称：江苏建威建设管理有限公司</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 址：盐城市盐都区兆泉商务中心六楼</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联系人：朱女士</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w:t>
      </w:r>
      <w:bookmarkStart w:id="32" w:name="_Toc28359087"/>
      <w:r/>
      <w:bookmarkStart w:id="33" w:name="_Toc28359010"/>
      <w:r>
        <w:rPr>
          <w:rFonts w:hint="eastAsia" w:ascii="宋体" w:hAnsi="宋体" w:eastAsia="宋体" w:cs="宋体"/>
          <w:color w:val="000000"/>
          <w:sz w:val="24"/>
          <w:szCs w:val="24"/>
          <w:highlight w:val="none"/>
          <w:shd w:val="clear" w:color="auto" w:fill="auto"/>
          <w:lang w:val="en-US" w:eastAsia="zh-CN"/>
        </w:rPr>
        <w:t xml:space="preserve">18066198320</w:t>
      </w:r>
      <w:bookmarkEnd w:id="32"/>
      <w:r/>
      <w:bookmarkEnd w:id="33"/>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34" w:name="_Toc28359021"/>
      <w:r>
        <w:rPr>
          <w:rFonts w:hint="eastAsia" w:ascii="宋体" w:hAnsi="宋体" w:eastAsia="宋体" w:cs="宋体"/>
          <w:color w:val="000000"/>
          <w:sz w:val="24"/>
          <w:szCs w:val="24"/>
          <w:highlight w:val="none"/>
          <w:shd w:val="clear" w:color="auto" w:fill="auto"/>
          <w:lang w:val="en-US" w:eastAsia="zh-CN"/>
        </w:rPr>
        <w:t xml:space="preserve">3.</w:t>
      </w:r>
      <w:bookmarkEnd w:id="34"/>
      <w:r>
        <w:rPr>
          <w:rFonts w:hint="eastAsia" w:ascii="宋体" w:hAnsi="宋体" w:eastAsia="宋体" w:cs="宋体"/>
          <w:color w:val="000000"/>
          <w:sz w:val="24"/>
          <w:szCs w:val="24"/>
          <w:highlight w:val="none"/>
          <w:shd w:val="clear" w:color="auto" w:fill="auto"/>
          <w:lang w:val="en-US" w:eastAsia="zh-CN"/>
        </w:rPr>
        <w:t xml:space="preserve">项目联系方式</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项目联系人：朱女士</w:t>
      </w:r>
      <w:r/>
    </w:p>
    <w:p>
      <w:pPr>
        <w:pStyle w:val="892"/>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电      话：18066198320</w:t>
      </w:r>
      <w:r/>
    </w:p>
    <w:p>
      <w:pPr>
        <w:rPr>
          <w:rFonts w:hint="eastAsia" w:ascii="黑体" w:hAnsi="宋体" w:eastAsia="黑体" w:cs="黑体"/>
          <w:b/>
          <w:color w:val="000000"/>
          <w:sz w:val="44"/>
          <w:szCs w:val="44"/>
          <w:highlight w:val="none"/>
        </w:rPr>
      </w:pPr>
      <w:r/>
      <w:bookmarkStart w:id="35" w:name="_Toc120614211"/>
      <w:r>
        <w:rPr>
          <w:rFonts w:hint="eastAsia" w:ascii="黑体" w:hAnsi="宋体" w:eastAsia="黑体" w:cs="黑体"/>
          <w:b/>
          <w:color w:val="000000"/>
          <w:sz w:val="44"/>
          <w:szCs w:val="44"/>
          <w:highlight w:val="none"/>
        </w:rPr>
        <w:br w:type="page" w:clear="all"/>
      </w:r>
      <w:bookmarkEnd w:id="35"/>
      <w:r/>
      <w:r/>
    </w:p>
    <w:p>
      <w:pPr>
        <w:pStyle w:val="892"/>
        <w:ind w:firstLine="0"/>
        <w:jc w:val="center"/>
        <w:keepLines/>
        <w:keepNext/>
        <w:pageBreakBefore w:val="0"/>
        <w:spacing w:beforeAutospacing="0" w:afterAutospacing="0" w:line="360" w:lineRule="auto"/>
        <w:widowControl w:val="off"/>
        <w:rPr>
          <w:rFonts w:hint="eastAsia" w:ascii="黑体" w:hAnsi="宋体" w:eastAsia="黑体" w:cs="黑体"/>
          <w:b/>
          <w:color w:val="000000"/>
          <w:sz w:val="44"/>
          <w:szCs w:val="44"/>
          <w:highlight w:val="none"/>
        </w:rPr>
      </w:pPr>
      <w:r/>
      <w:bookmarkStart w:id="36" w:name="_Hlt26670486"/>
      <w:r/>
      <w:bookmarkStart w:id="37" w:name="_Toc513029226"/>
      <w:r/>
      <w:bookmarkStart w:id="38" w:name="_Hlt26670482"/>
      <w:r/>
      <w:bookmarkStart w:id="39" w:name="_Hlt26954846"/>
      <w:r/>
      <w:bookmarkStart w:id="40" w:name="_Hlt26670360"/>
      <w:r/>
      <w:bookmarkStart w:id="41" w:name="_Hlt26954838"/>
      <w:r/>
      <w:bookmarkStart w:id="42" w:name="_Hlt26954848"/>
      <w:r/>
      <w:bookmarkStart w:id="43" w:name="_Hlt26954731"/>
      <w:r/>
      <w:bookmarkStart w:id="44" w:name="_Hlt16619475"/>
      <w:r/>
      <w:bookmarkStart w:id="45" w:name="_Hlt26668975"/>
      <w:r/>
      <w:bookmarkStart w:id="46" w:name="_Hlt26954739"/>
      <w:r/>
      <w:bookmarkStart w:id="47" w:name="_Hlt26954852"/>
      <w:r>
        <w:rPr>
          <w:rFonts w:hint="eastAsia" w:ascii="黑体" w:hAnsi="宋体" w:eastAsia="黑体" w:cs="黑体"/>
          <w:b/>
          <w:color w:val="000000"/>
          <w:sz w:val="44"/>
          <w:szCs w:val="44"/>
          <w:highlight w:val="none"/>
        </w:rPr>
        <w:t xml:space="preserve">第二章</w:t>
      </w:r>
      <w:r>
        <w:rPr>
          <w:rFonts w:hint="eastAsia" w:ascii="黑体" w:hAnsi="宋体" w:eastAsia="黑体" w:cs="黑体"/>
          <w:b/>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 </w:t>
      </w:r>
      <w:bookmarkStart w:id="48" w:name="_Toc120614213"/>
      <w:r/>
      <w:bookmarkStart w:id="49" w:name="_Toc20823274"/>
      <w:r/>
      <w:bookmarkStart w:id="50" w:name="_Toc16938518"/>
      <w:r/>
      <w:bookmarkStart w:id="51" w:name="_Toc513029202"/>
      <w:r>
        <w:rPr>
          <w:rFonts w:hint="eastAsia" w:ascii="黑体" w:hAnsi="宋体" w:eastAsia="黑体" w:cs="黑体"/>
          <w:b/>
          <w:color w:val="000000"/>
          <w:sz w:val="44"/>
          <w:szCs w:val="44"/>
          <w:highlight w:val="none"/>
        </w:rPr>
        <w:t xml:space="preserve">投标人须知</w:t>
      </w:r>
      <w:bookmarkEnd w:id="48"/>
      <w:r/>
      <w:bookmarkEnd w:id="49"/>
      <w:r/>
      <w:bookmarkEnd w:id="50"/>
      <w:r/>
      <w:bookmarkEnd w:id="51"/>
      <w:r/>
      <w:r/>
    </w:p>
    <w:p>
      <w:pPr>
        <w:pStyle w:val="89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52" w:name="_Toc16938519"/>
      <w:r/>
      <w:bookmarkStart w:id="53" w:name="_Toc20823275"/>
      <w:r/>
      <w:bookmarkStart w:id="54" w:name="_Toc513029203"/>
      <w:r/>
      <w:bookmarkStart w:id="55" w:name="_Toc120614214"/>
      <w:r>
        <w:rPr>
          <w:rFonts w:hint="eastAsia" w:ascii="宋体" w:hAnsi="宋体" w:eastAsia="宋体" w:cs="宋体"/>
          <w:b/>
          <w:color w:val="000000"/>
          <w:sz w:val="24"/>
          <w:szCs w:val="24"/>
          <w:highlight w:val="none"/>
        </w:rPr>
        <w:t xml:space="preserve">一、总则</w:t>
      </w:r>
      <w:bookmarkEnd w:id="52"/>
      <w:r/>
      <w:bookmarkEnd w:id="53"/>
      <w:r/>
      <w:bookmarkEnd w:id="54"/>
      <w:r/>
      <w:bookmarkEnd w:id="55"/>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56" w:name="_Toc20823276"/>
      <w:r/>
      <w:bookmarkStart w:id="57" w:name="_Toc458694821"/>
      <w:r/>
      <w:bookmarkStart w:id="58" w:name="_Toc513029204"/>
      <w:r/>
      <w:bookmarkStart w:id="59" w:name="_Toc16938520"/>
      <w:r>
        <w:rPr>
          <w:rFonts w:hint="eastAsia" w:ascii="宋体" w:hAnsi="宋体" w:eastAsia="宋体" w:cs="宋体"/>
          <w:color w:val="000000"/>
          <w:sz w:val="24"/>
          <w:szCs w:val="24"/>
          <w:highlight w:val="none"/>
        </w:rPr>
        <w:t xml:space="preserve">1</w:t>
      </w:r>
      <w:bookmarkEnd w:id="56"/>
      <w:r>
        <w:rPr>
          <w:rFonts w:hint="eastAsia" w:ascii="宋体" w:hAnsi="宋体" w:eastAsia="宋体" w:cs="宋体"/>
          <w:color w:val="000000"/>
          <w:sz w:val="24"/>
          <w:szCs w:val="24"/>
          <w:highlight w:val="none"/>
        </w:rPr>
        <w:t xml:space="preserve">、招标方式</w:t>
      </w:r>
      <w:bookmarkEnd w:id="57"/>
      <w:r/>
      <w:bookmarkEnd w:id="58"/>
      <w:r/>
      <w:bookmarkEnd w:id="59"/>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60" w:name="_Toc513029205"/>
      <w:r/>
      <w:bookmarkStart w:id="61" w:name="_Toc20823277"/>
      <w:r/>
      <w:bookmarkStart w:id="62" w:name="_Toc16938521"/>
      <w:r>
        <w:rPr>
          <w:rFonts w:hint="eastAsia" w:ascii="宋体" w:hAnsi="宋体" w:eastAsia="宋体" w:cs="宋体"/>
          <w:color w:val="000000"/>
          <w:sz w:val="24"/>
          <w:szCs w:val="24"/>
          <w:highlight w:val="none"/>
        </w:rPr>
        <w:t xml:space="preserve">2、合格的投标人</w:t>
      </w:r>
      <w:bookmarkEnd w:id="60"/>
      <w:r/>
      <w:bookmarkEnd w:id="61"/>
      <w:r/>
      <w:bookmarkEnd w:id="62"/>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63" w:name="_Toc513029206"/>
      <w:r/>
      <w:bookmarkStart w:id="64" w:name="_Toc20823278"/>
      <w:r/>
      <w:bookmarkStart w:id="65" w:name="_Toc16938522"/>
      <w:r>
        <w:rPr>
          <w:rFonts w:hint="eastAsia" w:ascii="宋体" w:hAnsi="宋体" w:eastAsia="宋体" w:cs="宋体"/>
          <w:color w:val="000000"/>
          <w:sz w:val="24"/>
          <w:szCs w:val="24"/>
          <w:highlight w:val="none"/>
        </w:rPr>
        <w:t xml:space="preserve">3、适用法律</w:t>
      </w:r>
      <w:bookmarkEnd w:id="63"/>
      <w:r/>
      <w:bookmarkEnd w:id="64"/>
      <w:r/>
      <w:bookmarkEnd w:id="65"/>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66" w:name="_Toc513029207"/>
      <w:r/>
      <w:bookmarkStart w:id="67" w:name="_Toc20823279"/>
      <w:r/>
      <w:bookmarkStart w:id="68" w:name="_Toc16938523"/>
      <w:r/>
      <w:bookmarkStart w:id="69" w:name="_Toc462564067"/>
      <w:r>
        <w:rPr>
          <w:rFonts w:hint="eastAsia" w:ascii="宋体" w:hAnsi="宋体" w:eastAsia="宋体" w:cs="宋体"/>
          <w:color w:val="000000"/>
          <w:sz w:val="24"/>
          <w:szCs w:val="24"/>
          <w:highlight w:val="none"/>
        </w:rPr>
        <w:t xml:space="preserve">4、投标费用</w:t>
      </w:r>
      <w:bookmarkEnd w:id="66"/>
      <w:r/>
      <w:bookmarkEnd w:id="67"/>
      <w:r/>
      <w:bookmarkEnd w:id="68"/>
      <w:r/>
      <w:bookmarkEnd w:id="69"/>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江苏建威建设管理有限公司</w:t>
      </w:r>
      <w:r>
        <w:rPr>
          <w:rFonts w:hint="eastAsia" w:ascii="宋体" w:hAnsi="宋体" w:eastAsia="宋体" w:cs="宋体"/>
          <w:color w:val="000000"/>
          <w:sz w:val="24"/>
          <w:szCs w:val="24"/>
          <w:highlight w:val="none"/>
        </w:rPr>
        <w:t xml:space="preserve">（以下简称采购代理机构）在任何情况下均无义务和责任承担这些费用。</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4.2本次招标采购代理机构和采购人不收取标书工本费与中标服务费。</w:t>
      </w:r>
      <w:r/>
    </w:p>
    <w:p>
      <w:pPr>
        <w:pStyle w:val="892"/>
        <w:ind w:left="0" w:firstLine="482"/>
        <w:jc w:val="both"/>
        <w:pageBreakBefore w:val="0"/>
        <w:spacing w:beforeAutospacing="0" w:afterAutospacing="0" w:line="480" w:lineRule="exact"/>
        <w:widowControl w:val="off"/>
        <w:rPr>
          <w:rFonts w:hint="eastAsia" w:ascii="宋体" w:hAnsi="宋体" w:eastAsia="宋体" w:cs="宋体"/>
          <w:color w:val="0000ff"/>
          <w:sz w:val="24"/>
          <w:szCs w:val="24"/>
          <w:highlight w:val="none"/>
        </w:rPr>
      </w:pPr>
      <w:r>
        <w:rPr>
          <w:rFonts w:hint="eastAsia" w:ascii="宋体" w:hAnsi="宋体" w:eastAsia="宋体" w:cs="宋体"/>
          <w:b/>
          <w:bCs/>
          <w:color w:val="0000ff"/>
          <w:sz w:val="24"/>
          <w:szCs w:val="24"/>
          <w:highlight w:val="none"/>
        </w:rPr>
        <w:t xml:space="preserve">4.3采购代理服务费：</w:t>
      </w:r>
      <w:r>
        <w:rPr>
          <w:rFonts w:hint="eastAsia" w:ascii="宋体" w:hAnsi="宋体" w:eastAsia="宋体" w:cs="宋体"/>
          <w:color w:val="0000ff"/>
          <w:sz w:val="24"/>
          <w:szCs w:val="24"/>
          <w:highlight w:val="none"/>
        </w:rPr>
        <w:t xml:space="preserve">根据代理合同约定的收费标准的31%收取代理服务费，即100万元以内按1.5%的31%计取，100万元—500万元以内按1.1%的31%计取，采购代理服务收费按差额定率累进法计算，招标完成后由采购人向代理机构支付。</w:t>
      </w:r>
      <w:r/>
    </w:p>
    <w:p>
      <w:pPr>
        <w:pStyle w:val="89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89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70" w:name="_Toc16938525"/>
      <w:r/>
      <w:bookmarkStart w:id="71" w:name="_Toc20823281"/>
      <w:r/>
      <w:bookmarkStart w:id="72" w:name="_Toc120614215"/>
      <w:r/>
      <w:bookmarkStart w:id="73" w:name="_Toc513029209"/>
      <w:r>
        <w:rPr>
          <w:rFonts w:hint="eastAsia" w:ascii="宋体" w:hAnsi="宋体" w:eastAsia="宋体" w:cs="宋体"/>
          <w:b/>
          <w:color w:val="000000"/>
          <w:sz w:val="24"/>
          <w:szCs w:val="24"/>
          <w:highlight w:val="none"/>
        </w:rPr>
        <w:t xml:space="preserve">二、招标文件</w:t>
      </w:r>
      <w:bookmarkEnd w:id="70"/>
      <w:r/>
      <w:bookmarkEnd w:id="71"/>
      <w:r/>
      <w:bookmarkEnd w:id="72"/>
      <w:r/>
      <w:bookmarkEnd w:id="73"/>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74" w:name="_Toc20823282"/>
      <w:r/>
      <w:bookmarkStart w:id="75" w:name="_Toc513029210"/>
      <w:r/>
      <w:bookmarkStart w:id="76" w:name="_Toc16938526"/>
      <w:r>
        <w:rPr>
          <w:rFonts w:hint="eastAsia" w:ascii="宋体" w:hAnsi="宋体" w:eastAsia="宋体" w:cs="宋体"/>
          <w:color w:val="000000"/>
          <w:sz w:val="24"/>
          <w:szCs w:val="24"/>
          <w:highlight w:val="none"/>
        </w:rPr>
        <w:t xml:space="preserve">6、招标文件构成</w:t>
      </w:r>
      <w:bookmarkEnd w:id="74"/>
      <w:r/>
      <w:bookmarkEnd w:id="75"/>
      <w:r/>
      <w:bookmarkEnd w:id="76"/>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请仔细检查招标文件是否齐全，如有缺漏请立即与采购代理机构联系解决。</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77" w:name="_Toc513029211"/>
      <w:r/>
      <w:bookmarkStart w:id="78" w:name="_Toc462564070"/>
      <w:r/>
      <w:bookmarkStart w:id="79" w:name="_Toc16938527"/>
      <w:r/>
      <w:bookmarkStart w:id="80" w:name="_Toc20823283"/>
      <w:r>
        <w:rPr>
          <w:rFonts w:hint="eastAsia" w:ascii="宋体" w:hAnsi="宋体" w:eastAsia="宋体" w:cs="宋体"/>
          <w:color w:val="000000"/>
          <w:sz w:val="24"/>
          <w:szCs w:val="24"/>
          <w:highlight w:val="none"/>
        </w:rPr>
        <w:t xml:space="preserve">7、招标文件的澄清</w:t>
      </w:r>
      <w:bookmarkEnd w:id="77"/>
      <w:r/>
      <w:bookmarkEnd w:id="78"/>
      <w:r/>
      <w:bookmarkEnd w:id="79"/>
      <w:r/>
      <w:bookmarkEnd w:id="80"/>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前按招标公告中的通讯地址，以书面形式通知采购代理机构。</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81" w:name="_Toc20823284"/>
      <w:r/>
      <w:bookmarkStart w:id="82" w:name="_Toc16938528"/>
      <w:r/>
      <w:bookmarkStart w:id="83" w:name="_Toc513029212"/>
      <w:r/>
      <w:bookmarkStart w:id="84" w:name="_Toc462564071"/>
      <w:r>
        <w:rPr>
          <w:rFonts w:hint="eastAsia" w:ascii="宋体" w:hAnsi="宋体" w:eastAsia="宋体" w:cs="宋体"/>
          <w:color w:val="000000"/>
          <w:sz w:val="24"/>
          <w:szCs w:val="24"/>
          <w:highlight w:val="none"/>
        </w:rPr>
        <w:t xml:space="preserve">8、招标文件的修改</w:t>
      </w:r>
      <w:bookmarkEnd w:id="81"/>
      <w:r/>
      <w:bookmarkEnd w:id="82"/>
      <w:r/>
      <w:bookmarkEnd w:id="83"/>
      <w:r/>
      <w:bookmarkEnd w:id="84"/>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可以对招标文件进行修改。</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89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85" w:name="_Toc513029213"/>
      <w:r/>
      <w:bookmarkStart w:id="86" w:name="_Toc16938529"/>
      <w:r/>
      <w:bookmarkStart w:id="87" w:name="_Toc120614216"/>
      <w:r/>
      <w:bookmarkStart w:id="88" w:name="_Toc20823285"/>
      <w:r/>
      <w:bookmarkStart w:id="89" w:name="_Toc462564072"/>
      <w:r>
        <w:rPr>
          <w:rFonts w:hint="eastAsia" w:ascii="宋体" w:hAnsi="宋体" w:eastAsia="宋体" w:cs="宋体"/>
          <w:b/>
          <w:color w:val="000000"/>
          <w:sz w:val="24"/>
          <w:szCs w:val="24"/>
          <w:highlight w:val="none"/>
        </w:rPr>
        <w:t xml:space="preserve">三、投标文件的编制</w:t>
      </w:r>
      <w:bookmarkEnd w:id="85"/>
      <w:r/>
      <w:bookmarkEnd w:id="86"/>
      <w:r/>
      <w:bookmarkEnd w:id="87"/>
      <w:r/>
      <w:bookmarkEnd w:id="88"/>
      <w:r/>
      <w:bookmarkEnd w:id="89"/>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90" w:name="_Toc462564073"/>
      <w:r/>
      <w:bookmarkStart w:id="91" w:name="_Toc513029214"/>
      <w:r/>
      <w:bookmarkStart w:id="92" w:name="_Toc20823286"/>
      <w:r/>
      <w:bookmarkStart w:id="93" w:name="_Toc16938530"/>
      <w:r>
        <w:rPr>
          <w:rFonts w:hint="eastAsia" w:ascii="宋体" w:hAnsi="宋体" w:eastAsia="宋体" w:cs="宋体"/>
          <w:color w:val="000000"/>
          <w:sz w:val="24"/>
          <w:szCs w:val="24"/>
          <w:highlight w:val="none"/>
        </w:rPr>
        <w:t xml:space="preserve">9、投标文件的语言及度量衡单位</w:t>
      </w:r>
      <w:bookmarkEnd w:id="90"/>
      <w:r/>
      <w:bookmarkEnd w:id="91"/>
      <w:r/>
      <w:bookmarkEnd w:id="92"/>
      <w:r/>
      <w:bookmarkEnd w:id="93"/>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投标人提交的投标文件以及投标人与采购</w:t>
      </w:r>
      <w:r>
        <w:rPr>
          <w:rFonts w:hint="eastAsia" w:ascii="宋体" w:hAnsi="宋体" w:eastAsia="宋体" w:cs="宋体"/>
          <w:color w:val="000000"/>
          <w:sz w:val="24"/>
          <w:szCs w:val="24"/>
          <w:highlight w:val="none"/>
          <w:lang w:val="en-US" w:eastAsia="zh-CN"/>
        </w:rPr>
        <w:t xml:space="preserve">人活采购代理机构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94" w:name="_Toc462564074"/>
      <w:r/>
      <w:bookmarkStart w:id="95" w:name="_Toc16938531"/>
      <w:r/>
      <w:bookmarkStart w:id="96" w:name="_Toc513029215"/>
      <w:r/>
      <w:bookmarkStart w:id="97" w:name="_Toc20823287"/>
      <w:r>
        <w:rPr>
          <w:rFonts w:hint="eastAsia" w:ascii="宋体" w:hAnsi="宋体" w:eastAsia="宋体" w:cs="宋体"/>
          <w:color w:val="000000"/>
          <w:sz w:val="24"/>
          <w:szCs w:val="24"/>
          <w:highlight w:val="none"/>
        </w:rPr>
        <w:t xml:space="preserve">10、投标文件构成</w:t>
      </w:r>
      <w:bookmarkEnd w:id="94"/>
      <w:r/>
      <w:bookmarkEnd w:id="95"/>
      <w:r/>
      <w:bookmarkEnd w:id="96"/>
      <w:r/>
      <w:bookmarkEnd w:id="97"/>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98" w:name="_Toc513029219"/>
      <w:r/>
      <w:bookmarkStart w:id="99" w:name="_Toc49090507"/>
      <w:r/>
      <w:bookmarkStart w:id="100" w:name="_Toc14577354"/>
      <w:r/>
      <w:bookmarkStart w:id="101" w:name="_Toc14577355"/>
      <w:r/>
      <w:bookmarkStart w:id="102" w:name="_Toc14577357"/>
      <w:r/>
      <w:bookmarkStart w:id="103" w:name="_Toc49090509"/>
      <w:r/>
      <w:bookmarkStart w:id="104" w:name="_Toc49090508"/>
      <w:r/>
      <w:bookmarkStart w:id="105" w:name="_Toc513029216"/>
      <w:r>
        <w:rPr>
          <w:rFonts w:hint="eastAsia" w:ascii="宋体" w:hAnsi="宋体" w:eastAsia="宋体" w:cs="宋体"/>
          <w:color w:val="000000"/>
          <w:sz w:val="24"/>
          <w:szCs w:val="24"/>
          <w:highlight w:val="none"/>
        </w:rPr>
        <w:t xml:space="preserve">11、证明投标人及投标标的符合招标文件规定的文件</w:t>
      </w:r>
      <w:bookmarkEnd w:id="98"/>
      <w:r/>
      <w:bookmarkEnd w:id="99"/>
      <w:r/>
      <w:bookmarkEnd w:id="100"/>
      <w:r/>
      <w:bookmarkEnd w:id="101"/>
      <w:r/>
      <w:bookmarkEnd w:id="102"/>
      <w:r/>
      <w:bookmarkEnd w:id="103"/>
      <w:r/>
      <w:bookmarkEnd w:id="104"/>
      <w:r/>
      <w:bookmarkEnd w:id="105"/>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投标人需根据招标文件要求提供所投标的的主要组成部分、功能设计、实现思路及关键技术等。</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06" w:name="_Toc14577359"/>
      <w:r/>
      <w:bookmarkStart w:id="107" w:name="_Toc49090510"/>
      <w:r>
        <w:rPr>
          <w:rFonts w:hint="eastAsia" w:ascii="宋体" w:hAnsi="宋体" w:eastAsia="宋体" w:cs="宋体"/>
          <w:color w:val="000000"/>
          <w:sz w:val="24"/>
          <w:szCs w:val="24"/>
          <w:highlight w:val="none"/>
        </w:rPr>
        <w:t xml:space="preserve">15、投标函和开标一览表</w:t>
      </w:r>
      <w:bookmarkEnd w:id="106"/>
      <w:r/>
      <w:bookmarkEnd w:id="107"/>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08" w:name="_Toc14577360"/>
      <w:r/>
      <w:bookmarkStart w:id="109" w:name="_Toc49090511"/>
      <w:r>
        <w:rPr>
          <w:rFonts w:hint="eastAsia" w:ascii="宋体" w:hAnsi="宋体" w:eastAsia="宋体" w:cs="宋体"/>
          <w:color w:val="000000"/>
          <w:sz w:val="24"/>
          <w:szCs w:val="24"/>
          <w:highlight w:val="none"/>
        </w:rPr>
        <w:t xml:space="preserve">16、投标有效期</w:t>
      </w:r>
      <w:bookmarkEnd w:id="108"/>
      <w:r/>
      <w:bookmarkEnd w:id="109"/>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9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10" w:name="_Toc120614217"/>
      <w:r/>
      <w:bookmarkStart w:id="111" w:name="_Toc513029224"/>
      <w:r/>
      <w:bookmarkStart w:id="112" w:name="_Toc20823296"/>
      <w:r/>
      <w:bookmarkStart w:id="113" w:name="_Toc16938540"/>
      <w:r>
        <w:rPr>
          <w:rFonts w:hint="eastAsia" w:ascii="宋体" w:hAnsi="宋体" w:eastAsia="宋体" w:cs="宋体"/>
          <w:b/>
          <w:color w:val="000000"/>
          <w:sz w:val="24"/>
          <w:szCs w:val="24"/>
          <w:highlight w:val="none"/>
        </w:rPr>
        <w:t xml:space="preserve">四、投标文件的递交</w:t>
      </w:r>
      <w:bookmarkEnd w:id="110"/>
      <w:r/>
      <w:bookmarkEnd w:id="111"/>
      <w:r/>
      <w:bookmarkEnd w:id="112"/>
      <w:r/>
      <w:bookmarkEnd w:id="113"/>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14" w:name="_Toc513029225"/>
      <w:r/>
      <w:bookmarkStart w:id="115" w:name="_Toc20823297"/>
      <w:r/>
      <w:bookmarkStart w:id="116" w:name="_Toc16938541"/>
      <w:r/>
      <w:bookmarkStart w:id="117" w:name="_Toc462564084"/>
      <w:r>
        <w:rPr>
          <w:rFonts w:hint="eastAsia" w:ascii="宋体" w:hAnsi="宋体" w:eastAsia="宋体" w:cs="宋体"/>
          <w:color w:val="000000"/>
          <w:sz w:val="24"/>
          <w:szCs w:val="24"/>
          <w:highlight w:val="none"/>
        </w:rPr>
        <w:t xml:space="preserve">18、电子投标文件</w:t>
      </w:r>
      <w:bookmarkEnd w:id="114"/>
      <w:r/>
      <w:bookmarkEnd w:id="115"/>
      <w:r/>
      <w:bookmarkEnd w:id="116"/>
      <w:r/>
      <w:bookmarkEnd w:id="117"/>
      <w:r>
        <w:rPr>
          <w:rFonts w:hint="eastAsia" w:ascii="宋体" w:hAnsi="宋体" w:eastAsia="宋体" w:cs="宋体"/>
          <w:color w:val="000000"/>
          <w:sz w:val="24"/>
          <w:szCs w:val="24"/>
          <w:highlight w:val="none"/>
        </w:rPr>
        <w:t xml:space="preserve">的递交</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8" w:name="_Toc16938542"/>
      <w:r/>
      <w:bookmarkEnd w:id="118"/>
      <w:r/>
      <w:bookmarkStart w:id="119" w:name="_Toc20823298"/>
      <w:r/>
      <w:bookmarkEnd w:id="119"/>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20" w:name="_Toc513029227"/>
      <w:r/>
      <w:bookmarkStart w:id="121" w:name="_Toc16938543"/>
      <w:r/>
      <w:bookmarkStart w:id="122" w:name="_Toc20823299"/>
      <w:r>
        <w:rPr>
          <w:rFonts w:hint="eastAsia" w:ascii="宋体" w:hAnsi="宋体" w:eastAsia="宋体" w:cs="宋体"/>
          <w:color w:val="000000"/>
          <w:sz w:val="24"/>
          <w:szCs w:val="24"/>
          <w:highlight w:val="none"/>
        </w:rPr>
        <w:t xml:space="preserve">20、投标文件</w:t>
      </w:r>
      <w:bookmarkEnd w:id="120"/>
      <w:r/>
      <w:bookmarkEnd w:id="121"/>
      <w:r/>
      <w:bookmarkEnd w:id="122"/>
      <w:r>
        <w:rPr>
          <w:rFonts w:hint="eastAsia" w:ascii="宋体" w:hAnsi="宋体" w:eastAsia="宋体" w:cs="宋体"/>
          <w:color w:val="000000"/>
          <w:sz w:val="24"/>
          <w:szCs w:val="24"/>
          <w:highlight w:val="none"/>
        </w:rPr>
        <w:t xml:space="preserve">的拒收</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采购</w:t>
      </w:r>
      <w:r>
        <w:rPr>
          <w:rFonts w:hint="eastAsia" w:ascii="宋体" w:hAnsi="宋体" w:eastAsia="宋体" w:cs="宋体"/>
          <w:color w:val="000000"/>
          <w:sz w:val="24"/>
          <w:szCs w:val="24"/>
          <w:highlight w:val="none"/>
          <w:lang w:val="en-US" w:eastAsia="zh-CN"/>
        </w:rPr>
        <w:t xml:space="preserve">人及采购代理机构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23" w:name="_Toc20823300"/>
      <w:r/>
      <w:bookmarkStart w:id="124" w:name="_Toc16938544"/>
      <w:r/>
      <w:bookmarkStart w:id="125" w:name="_Toc513029228"/>
      <w:r>
        <w:rPr>
          <w:rFonts w:hint="eastAsia" w:ascii="宋体" w:hAnsi="宋体" w:eastAsia="宋体" w:cs="宋体"/>
          <w:color w:val="000000"/>
          <w:sz w:val="24"/>
          <w:szCs w:val="24"/>
          <w:highlight w:val="none"/>
        </w:rPr>
        <w:t xml:space="preserve">21、投标文件的撤回和修改</w:t>
      </w:r>
      <w:bookmarkEnd w:id="123"/>
      <w:r/>
      <w:bookmarkEnd w:id="124"/>
      <w:r/>
      <w:bookmarkEnd w:id="125"/>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89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26" w:name="_Toc513029229"/>
      <w:r/>
      <w:bookmarkStart w:id="127" w:name="_Toc20823301"/>
      <w:r/>
      <w:bookmarkStart w:id="128" w:name="_Toc16938545"/>
      <w:r/>
      <w:bookmarkStart w:id="129" w:name="_Toc120614218"/>
      <w:r>
        <w:rPr>
          <w:rFonts w:hint="eastAsia" w:ascii="宋体" w:hAnsi="宋体" w:eastAsia="宋体" w:cs="宋体"/>
          <w:b/>
          <w:color w:val="000000"/>
          <w:sz w:val="24"/>
          <w:szCs w:val="24"/>
          <w:highlight w:val="none"/>
        </w:rPr>
        <w:t xml:space="preserve">五、开标与评标</w:t>
      </w:r>
      <w:bookmarkEnd w:id="126"/>
      <w:r/>
      <w:bookmarkEnd w:id="127"/>
      <w:r/>
      <w:bookmarkEnd w:id="128"/>
      <w:r/>
      <w:bookmarkEnd w:id="129"/>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30" w:name="_Toc16938546"/>
      <w:r/>
      <w:bookmarkStart w:id="131" w:name="_Toc513029230"/>
      <w:r/>
      <w:bookmarkStart w:id="132" w:name="_Toc20823302"/>
      <w:r>
        <w:rPr>
          <w:rFonts w:hint="eastAsia" w:ascii="宋体" w:hAnsi="宋体" w:eastAsia="宋体" w:cs="宋体"/>
          <w:color w:val="000000"/>
          <w:sz w:val="24"/>
          <w:szCs w:val="24"/>
          <w:highlight w:val="none"/>
        </w:rPr>
        <w:t xml:space="preserve">22、开标</w:t>
      </w:r>
      <w:bookmarkEnd w:id="130"/>
      <w:r/>
      <w:bookmarkEnd w:id="131"/>
      <w:r/>
      <w:bookmarkEnd w:id="132"/>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组织。苏采云系统将自动对项目进行开标，并宣布各投标人名称和投标价格。</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33" w:name="_Toc16938547"/>
      <w:r/>
      <w:bookmarkStart w:id="134" w:name="_Toc20823303"/>
      <w:r/>
      <w:bookmarkStart w:id="135" w:name="_Toc513029231"/>
      <w:r>
        <w:rPr>
          <w:rFonts w:hint="eastAsia" w:ascii="宋体" w:hAnsi="宋体" w:eastAsia="宋体" w:cs="宋体"/>
          <w:color w:val="000000"/>
          <w:sz w:val="24"/>
          <w:szCs w:val="24"/>
          <w:highlight w:val="none"/>
        </w:rPr>
        <w:t xml:space="preserve">23、评标委员会</w:t>
      </w:r>
      <w:bookmarkEnd w:id="133"/>
      <w:r/>
      <w:bookmarkEnd w:id="134"/>
      <w:r/>
      <w:bookmarkEnd w:id="135"/>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23.3评委会独立工作，负责评审所有投标文件并确定中标侯选人。</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24.1凡是与审查、澄清、评价和比较投标的有关资料以及授标建议等，采购人、评委、采购代理机构均不得向投标人或与评标无关的其他人员透露。</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和评标委员会不向未中标的投标人解释未中标原因，也不公布评标过程中的相关细节。</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采用综合评分法的项目，未中标的投标人可于中标结果公告期限届满之日起通过苏采云系统查看自己的评审得分及排序情况。</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36" w:name="_Toc16938548"/>
      <w:r/>
      <w:bookmarkStart w:id="137" w:name="_Toc20823304"/>
      <w:r/>
      <w:bookmarkStart w:id="138" w:name="_Toc513029232"/>
      <w:r>
        <w:rPr>
          <w:rFonts w:hint="eastAsia" w:ascii="宋体" w:hAnsi="宋体" w:eastAsia="宋体" w:cs="宋体"/>
          <w:color w:val="000000"/>
          <w:sz w:val="24"/>
          <w:szCs w:val="24"/>
          <w:highlight w:val="none"/>
        </w:rPr>
        <w:t xml:space="preserve">25．投标文件的澄清</w:t>
      </w:r>
      <w:bookmarkEnd w:id="136"/>
      <w:r/>
      <w:bookmarkEnd w:id="137"/>
      <w:r/>
      <w:bookmarkEnd w:id="138"/>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bookmarkStart w:id="139" w:name="_Toc20823305"/>
      <w:r/>
      <w:bookmarkStart w:id="140" w:name="_Toc513029233"/>
      <w:r/>
      <w:bookmarkStart w:id="141" w:name="_Toc16938549"/>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 接到评委会澄清、说明和补正要求的投标人如未按规定做出澄清、说明和补正，其风险由投标人自行承担。</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未通过资格审查或符合性审查的投标人，采购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将在苏采云系统中告知未通过资格审查或符合性审查的原因，评审结束后，采购</w:t>
      </w:r>
      <w:r>
        <w:rPr>
          <w:rFonts w:hint="eastAsia" w:ascii="宋体" w:hAnsi="宋体" w:eastAsia="宋体" w:cs="宋体"/>
          <w:color w:val="000000"/>
          <w:sz w:val="24"/>
          <w:szCs w:val="24"/>
          <w:highlight w:val="none"/>
          <w:lang w:val="en-US" w:eastAsia="zh-CN"/>
        </w:rPr>
        <w:t xml:space="preserve">人或采购代理机构</w:t>
      </w:r>
      <w:r>
        <w:rPr>
          <w:rFonts w:hint="eastAsia" w:ascii="宋体" w:hAnsi="宋体" w:eastAsia="宋体" w:cs="宋体"/>
          <w:color w:val="000000"/>
          <w:sz w:val="24"/>
          <w:szCs w:val="24"/>
          <w:highlight w:val="none"/>
        </w:rPr>
        <w:t xml:space="preserve">将不再告知未通过资格审查或符合性审查的原因。</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bookmarkStart w:id="142" w:name="_Toc20823306"/>
      <w:r/>
      <w:bookmarkStart w:id="143" w:name="_Toc513029234"/>
      <w:r/>
      <w:bookmarkStart w:id="144"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26.7投标人在开、评标全过程中应保持通讯畅通，及时登录苏采云系统查阅、答复相关信息，并安排专人与采购代理机构及评标委员会联系。</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bookmarkStart w:id="145" w:name="_Toc20823307"/>
      <w:r/>
      <w:bookmarkStart w:id="146" w:name="_Toc16938551"/>
      <w:r/>
      <w:bookmarkStart w:id="147" w:name="_Toc513029235"/>
      <w:r>
        <w:rPr>
          <w:rFonts w:hint="eastAsia" w:ascii="宋体" w:hAnsi="宋体" w:eastAsia="宋体" w:cs="宋体"/>
          <w:color w:val="000000"/>
          <w:sz w:val="24"/>
          <w:szCs w:val="24"/>
          <w:highlight w:val="none"/>
        </w:rPr>
        <w:t xml:space="preserve">27.1无效投标条款</w:t>
      </w:r>
      <w:bookmarkEnd w:id="145"/>
      <w:r/>
      <w:bookmarkEnd w:id="146"/>
      <w:r/>
      <w:bookmarkEnd w:id="147"/>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投标人在苏采云系统规定的时间内未成功解密电子投标文件的。</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投标人未按照招标文件要求上传电子投标文件的。</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 投标文件含有采购人不能接受的附加条件的。</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w:t>
      </w:r>
      <w:r>
        <w:rPr>
          <w:rFonts w:hint="eastAsia" w:ascii="宋体" w:hAnsi="宋体" w:eastAsia="宋体" w:cs="宋体"/>
          <w:color w:val="0000ff"/>
          <w:sz w:val="24"/>
          <w:szCs w:val="24"/>
          <w:highlight w:val="none"/>
          <w:lang w:val="en-US" w:eastAsia="zh-CN"/>
        </w:rPr>
        <w:t xml:space="preserve">7</w:t>
      </w:r>
      <w:r>
        <w:rPr>
          <w:rFonts w:hint="eastAsia" w:ascii="宋体" w:hAnsi="宋体" w:eastAsia="宋体" w:cs="宋体"/>
          <w:color w:val="0000ff"/>
          <w:sz w:val="24"/>
          <w:szCs w:val="24"/>
          <w:highlight w:val="none"/>
        </w:rPr>
        <w:t xml:space="preserve">.1.10投标人不能证明其报价合理性的，评</w:t>
      </w:r>
      <w:r>
        <w:rPr>
          <w:rFonts w:hint="eastAsia" w:ascii="宋体" w:hAnsi="宋体" w:eastAsia="宋体" w:cs="宋体"/>
          <w:color w:val="0000ff"/>
          <w:sz w:val="24"/>
          <w:szCs w:val="24"/>
          <w:highlight w:val="none"/>
          <w:lang w:val="en-US" w:eastAsia="zh-CN"/>
        </w:rPr>
        <w:t xml:space="preserve">标</w:t>
      </w:r>
      <w:r>
        <w:rPr>
          <w:rFonts w:hint="eastAsia" w:ascii="宋体" w:hAnsi="宋体" w:eastAsia="宋体" w:cs="宋体"/>
          <w:color w:val="0000ff"/>
          <w:sz w:val="24"/>
          <w:szCs w:val="24"/>
          <w:highlight w:val="none"/>
        </w:rPr>
        <w:t xml:space="preserve">委员会应当将其作为无效投标处理。</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（一）评审过程中出现下列情形之一的，评标委员会应当启动异常低价投标审查程序：</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1.投标报价低于采购项目预算50%的，即投标报价&lt;采购项目预算×50%；</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2.投标报价低于采购项目最高限价45%的，即投标报价&lt;采购项目最高限价×45%；</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3.评标委员会认定的供应商报价过低、有可能影响产品质量或者不能诚信履约的其他情形。</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27.2.2出现影响采购公正的违法、违规行为的。</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因苏采云系统系统故障原因造成开标不成功的。</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89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48" w:name="_Toc120614219"/>
      <w:r>
        <w:rPr>
          <w:rFonts w:hint="eastAsia" w:ascii="宋体" w:hAnsi="宋体" w:eastAsia="宋体" w:cs="宋体"/>
          <w:b/>
          <w:color w:val="000000"/>
          <w:sz w:val="24"/>
          <w:szCs w:val="24"/>
          <w:highlight w:val="none"/>
        </w:rPr>
        <w:t xml:space="preserve">六、定标</w:t>
      </w:r>
      <w:bookmarkEnd w:id="148"/>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49" w:name="_Toc20823310"/>
      <w:r/>
      <w:bookmarkStart w:id="150" w:name="_Toc513029238"/>
      <w:r/>
      <w:bookmarkStart w:id="151" w:name="_Toc16938554"/>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50"/>
      <w:r/>
      <w:bookmarkEnd w:id="151"/>
      <w:r>
        <w:rPr>
          <w:rFonts w:hint="eastAsia" w:ascii="宋体" w:hAnsi="宋体" w:eastAsia="宋体" w:cs="宋体"/>
          <w:color w:val="000000"/>
          <w:sz w:val="24"/>
          <w:szCs w:val="24"/>
          <w:highlight w:val="none"/>
        </w:rPr>
        <w:t xml:space="preserve">中标单位</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28.4.2向采购人、采购代理机构行贿或者提供其他不正当利益的。</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bookmarkStart w:id="152" w:name="_Toc200451960"/>
      <w:r>
        <w:rPr>
          <w:rFonts w:hint="eastAsia" w:ascii="宋体" w:hAnsi="宋体" w:eastAsia="宋体" w:cs="宋体"/>
          <w:color w:val="000000"/>
          <w:sz w:val="24"/>
          <w:szCs w:val="24"/>
          <w:highlight w:val="none"/>
        </w:rPr>
        <w:t xml:space="preserve">28.5.有下列情形之一的，视为投标人串通投标，投标无效：</w:t>
      </w:r>
      <w:bookmarkEnd w:id="152"/>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29.2.2对采购过程提出质疑的，为各采购程序环节结束之日；</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29.2.3对中标或者成交结果提出质疑的，为中标或者成交结果公告期限届满之日。</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采购人及采购代理机构只接收以纸质原件形式送达的质疑,采购人和采购代理机构不接受未填写快递运单的快件。</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92"/>
        <w:ind w:left="0" w:firstLine="482"/>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53" w:name="_Toc20823308"/>
      <w:r/>
      <w:bookmarkStart w:id="154" w:name="_Toc513029236"/>
      <w:r/>
      <w:bookmarkStart w:id="155" w:name="_Toc16938552"/>
      <w:r/>
      <w:bookmarkStart w:id="156" w:name="_Toc120614220"/>
      <w:r>
        <w:rPr>
          <w:rFonts w:hint="eastAsia" w:ascii="宋体" w:hAnsi="宋体" w:eastAsia="宋体" w:cs="宋体"/>
          <w:b/>
          <w:color w:val="000000"/>
          <w:sz w:val="24"/>
          <w:szCs w:val="24"/>
          <w:highlight w:val="none"/>
        </w:rPr>
        <w:t xml:space="preserve">七、授予合同</w:t>
      </w:r>
      <w:bookmarkEnd w:id="153"/>
      <w:r/>
      <w:bookmarkEnd w:id="154"/>
      <w:r/>
      <w:bookmarkEnd w:id="155"/>
      <w:r/>
      <w:bookmarkEnd w:id="156"/>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bookmarkStart w:id="157" w:name="_Toc20823309"/>
      <w:r/>
      <w:bookmarkStart w:id="158" w:name="_Toc16938553"/>
      <w:r/>
      <w:bookmarkStart w:id="159" w:name="_Toc513029237"/>
      <w:r>
        <w:rPr>
          <w:rFonts w:hint="eastAsia" w:ascii="宋体" w:hAnsi="宋体" w:eastAsia="宋体" w:cs="宋体"/>
          <w:color w:val="000000"/>
          <w:sz w:val="24"/>
          <w:szCs w:val="24"/>
          <w:highlight w:val="none"/>
        </w:rPr>
        <w:t xml:space="preserve">31. 签订合同</w:t>
      </w:r>
      <w:bookmarkEnd w:id="157"/>
      <w:r/>
      <w:bookmarkEnd w:id="158"/>
      <w:r/>
      <w:bookmarkEnd w:id="159"/>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892"/>
        <w:ind w:left="0" w:firstLine="480"/>
        <w:jc w:val="both"/>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92"/>
        <w:numPr>
          <w:ilvl w:val="0"/>
          <w:numId w:val="0"/>
        </w:numPr>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p>
    <w:p>
      <w:pPr>
        <w:pStyle w:val="892"/>
        <w:ind w:left="0" w:firstLine="480"/>
        <w:jc w:val="both"/>
        <w:keepLines/>
        <w:keepNext/>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p>
    <w:p>
      <w:pPr>
        <w:ind w:left="0" w:firstLine="48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w:t>
      </w:r>
      <w:r>
        <w:rPr>
          <w:rFonts w:hint="eastAsia" w:ascii="宋体" w:hAnsi="宋体" w:eastAsia="宋体" w:cs="宋体"/>
          <w:color w:val="0000ff"/>
          <w:sz w:val="24"/>
          <w:szCs w:val="24"/>
          <w:highlight w:val="none"/>
          <w:lang w:val="en-US" w:eastAsia="zh-CN"/>
        </w:rPr>
        <w:t xml:space="preserve">3</w:t>
      </w:r>
      <w:r>
        <w:rPr>
          <w:rFonts w:hint="eastAsia" w:ascii="宋体" w:hAnsi="宋体" w:eastAsia="宋体" w:cs="宋体"/>
          <w:color w:val="0000ff"/>
          <w:sz w:val="24"/>
          <w:szCs w:val="24"/>
          <w:highlight w:val="none"/>
        </w:rPr>
        <w:t xml:space="preserve">.3.2.1在货物采购项目中，货物由中小企业制造，即货物由中小企业生产且使用该中小企业商号或者注册商标；</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p>
    <w:p>
      <w:pPr>
        <w:pStyle w:val="892"/>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p>
    <w:p>
      <w:pPr>
        <w:ind w:left="0"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p>
    <w:p>
      <w:pPr>
        <w:ind w:left="0" w:firstLine="48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p>
    <w:p>
      <w:pPr>
        <w:ind w:left="0" w:right="0" w:firstLine="480"/>
        <w:jc w:val="both"/>
        <w:pageBreakBefore w:val="0"/>
        <w:spacing w:line="48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33.8履约保证金政策</w:t>
      </w:r>
      <w:r/>
    </w:p>
    <w:p>
      <w:pPr>
        <w:pStyle w:val="881"/>
        <w:ind w:left="0" w:firstLine="480"/>
        <w:pageBreakBefore w:val="0"/>
        <w:spacing w:after="0"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0000ff"/>
          <w:sz w:val="24"/>
          <w:szCs w:val="24"/>
          <w:highlight w:val="none"/>
          <w:lang w:val="en-US" w:eastAsia="zh-CN" w:bidi="ar-SA"/>
        </w:rPr>
        <w:t xml:space="preserve">降低履约保证金缴纳比例至合同金额的5%</w:t>
      </w:r>
      <w:r>
        <w:rPr>
          <w:rFonts w:hint="eastAsia" w:ascii="宋体" w:hAnsi="宋体" w:eastAsia="宋体" w:cs="宋体"/>
          <w:color w:val="000000"/>
          <w:sz w:val="24"/>
          <w:szCs w:val="24"/>
          <w:highlight w:val="none"/>
          <w:lang w:val="en-US" w:eastAsia="zh-CN" w:bidi="ar-SA"/>
        </w:rPr>
        <w:t xml:space="preserve">。</w:t>
      </w:r>
      <w:r/>
    </w:p>
    <w:p>
      <w:pPr>
        <w:ind w:left="0" w:firstLine="480"/>
        <w:pageBreakBefore w:val="0"/>
        <w:spacing w:line="48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p>
    <w:p>
      <w:pPr>
        <w:ind w:left="0" w:firstLine="48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w:t>
      </w:r>
      <w:r>
        <w:rPr>
          <w:rFonts w:hint="eastAsia" w:ascii="宋体" w:hAnsi="宋体" w:eastAsia="宋体" w:cs="宋体"/>
          <w:color w:val="0000ff"/>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rPr>
          <w:rFonts w:hint="eastAsia" w:ascii="宋体" w:hAnsi="宋体" w:cs="宋体"/>
          <w:b/>
          <w:sz w:val="48"/>
          <w:szCs w:val="44"/>
          <w:highlight w:val="none"/>
        </w:rPr>
      </w:pPr>
      <w:r/>
      <w:bookmarkStart w:id="160" w:name="_Toc479757211"/>
      <w:r/>
      <w:bookmarkStart w:id="161" w:name="_Toc462564139"/>
      <w:r/>
      <w:bookmarkStart w:id="162" w:name="_Toc120614244"/>
      <w:r/>
      <w:bookmarkStart w:id="163" w:name="_Hlt16619350"/>
      <w:r/>
      <w:bookmarkStart w:id="164" w:name="_Toc20823346"/>
      <w:r/>
      <w:bookmarkStart w:id="165" w:name="_Toc16938590"/>
      <w:r/>
      <w:bookmarkStart w:id="166" w:name="_Hlt16619369"/>
      <w:r>
        <w:rPr>
          <w:rFonts w:hint="eastAsia" w:ascii="宋体" w:hAnsi="宋体" w:cs="宋体"/>
          <w:b/>
          <w:sz w:val="48"/>
          <w:szCs w:val="44"/>
          <w:highlight w:val="none"/>
        </w:rPr>
        <w:br w:type="page" w:clear="all"/>
      </w:r>
      <w:r/>
    </w:p>
    <w:p>
      <w:pPr>
        <w:jc w:val="center"/>
        <w:spacing w:line="360" w:lineRule="auto"/>
        <w:widowControl/>
        <w:rPr>
          <w:rFonts w:ascii="宋体" w:hAnsi="宋体" w:cs="宋体"/>
          <w:b/>
          <w:sz w:val="48"/>
          <w:szCs w:val="44"/>
          <w:highlight w:val="none"/>
        </w:rPr>
      </w:pPr>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w:t>
      </w:r>
      <w:r>
        <w:rPr>
          <w:rFonts w:hint="eastAsia" w:ascii="宋体" w:hAnsi="宋体" w:cs="宋体"/>
          <w:b/>
          <w:sz w:val="48"/>
          <w:szCs w:val="44"/>
          <w:highlight w:val="none"/>
          <w:lang w:val="en-US" w:eastAsia="zh-CN"/>
        </w:rPr>
        <w:t xml:space="preserve"> </w:t>
      </w:r>
      <w:r>
        <w:rPr>
          <w:rFonts w:hint="eastAsia" w:ascii="宋体" w:hAnsi="宋体" w:cs="宋体"/>
          <w:b/>
          <w:sz w:val="48"/>
          <w:szCs w:val="44"/>
          <w:highlight w:val="none"/>
        </w:rPr>
        <w:t xml:space="preserve">合同条款</w:t>
      </w:r>
      <w:r/>
    </w:p>
    <w:p>
      <w:pPr>
        <w:rPr>
          <w:rFonts w:ascii="宋体" w:hAnsi="宋体" w:cs="宋体"/>
          <w:highlight w:val="none"/>
        </w:rPr>
      </w:pPr>
      <w:r/>
      <w:bookmarkStart w:id="167" w:name="EB6d2006462e294de090c16e672cecc3bd"/>
      <w:r/>
      <w:bookmarkEnd w:id="167"/>
      <w:r/>
      <w:r/>
    </w:p>
    <w:p>
      <w:pPr>
        <w:jc w:val="center"/>
        <w:rPr>
          <w:rFonts w:ascii="宋体" w:hAnsi="宋体" w:cs="宋体"/>
          <w:b/>
          <w:bCs/>
          <w:spacing w:val="-20"/>
          <w:sz w:val="48"/>
          <w:szCs w:val="48"/>
          <w:highlight w:val="none"/>
        </w:rPr>
      </w:pPr>
      <w:r/>
      <w:bookmarkStart w:id="16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rPr>
          <w:rFonts w:hint="eastAsia" w:ascii="宋体" w:hAnsi="宋体" w:cs="宋体"/>
          <w:sz w:val="30"/>
          <w:highlight w:val="none"/>
          <w:lang w:eastAsia="zh-CN"/>
        </w:rPr>
        <w:t xml:space="preserve">江苏省盐城技师学院建筑机器人一体化学习工作站采购项目</w:t>
      </w:r>
      <w:r/>
    </w:p>
    <w:p>
      <w:pPr>
        <w:ind w:left="420"/>
        <w:spacing w:line="360" w:lineRule="auto"/>
        <w:rPr>
          <w:rFonts w:hint="eastAsia" w:ascii="宋体" w:hAnsi="宋体" w:eastAsia="宋体" w:cs="宋体"/>
          <w:sz w:val="30"/>
          <w:highlight w:val="none"/>
          <w:lang w:eastAsia="zh-CN"/>
        </w:rPr>
      </w:pPr>
      <w:r>
        <w:rPr>
          <w:rFonts w:hint="eastAsia" w:ascii="宋体" w:hAnsi="宋体" w:cs="宋体"/>
          <w:sz w:val="30"/>
          <w:highlight w:val="none"/>
        </w:rPr>
        <w:t xml:space="preserve">合同编号：</w:t>
      </w:r>
      <w:r>
        <w:rPr>
          <w:rFonts w:hint="eastAsia" w:ascii="宋体" w:hAnsi="宋体" w:cs="宋体"/>
          <w:sz w:val="30"/>
          <w:highlight w:val="none"/>
          <w:lang w:eastAsia="zh-CN"/>
        </w:rPr>
        <w:t xml:space="preserve">JSZC-320900-JSJW-G2025-0092</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方：江苏省盐城技师学院</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bookmarkEnd w:id="168"/>
      <w:r/>
      <w:r/>
    </w:p>
    <w:p>
      <w:pPr>
        <w:jc w:val="center"/>
        <w:keepLines/>
        <w:keepNext/>
        <w:spacing w:line="400" w:lineRule="exact"/>
        <w:rPr>
          <w:rFonts w:hint="eastAsia" w:ascii="黑体" w:hAnsi="华文中宋" w:eastAsia="黑体"/>
          <w:color w:val="auto"/>
          <w:sz w:val="28"/>
          <w:szCs w:val="28"/>
        </w:rPr>
        <w:outlineLvl w:val="1"/>
      </w:pPr>
      <w:r/>
      <w:bookmarkStart w:id="169" w:name="_Toc27624"/>
      <w:r>
        <w:rPr>
          <w:rFonts w:hint="eastAsia" w:ascii="黑体" w:hAnsi="黑体" w:eastAsia="黑体"/>
          <w:color w:val="auto"/>
          <w:sz w:val="28"/>
          <w:szCs w:val="28"/>
        </w:rPr>
        <w:t xml:space="preserve">第一节 </w:t>
      </w:r>
      <w:r>
        <w:rPr>
          <w:rFonts w:hint="eastAsia" w:ascii="黑体" w:hAnsi="华文中宋" w:eastAsia="黑体"/>
          <w:color w:val="auto"/>
          <w:sz w:val="28"/>
          <w:szCs w:val="28"/>
        </w:rPr>
        <w:t xml:space="preserve">政府采购合同协议书</w:t>
      </w:r>
      <w:r/>
    </w:p>
    <w:p>
      <w:pPr>
        <w:ind w:firstLine="480"/>
        <w:jc w:val="left"/>
        <w:spacing w:before="0" w:after="0" w:line="560" w:lineRule="exact"/>
        <w:widowControl/>
        <w:rPr>
          <w:rFonts w:hint="default" w:ascii="宋体" w:hAnsi="宋体" w:eastAsia="Arial" w:cs="宋体"/>
          <w:bCs w:val="0"/>
          <w:color w:val="auto"/>
          <w:sz w:val="24"/>
          <w:szCs w:val="20"/>
          <w:lang w:eastAsia="zh-CN"/>
        </w:rPr>
      </w:pPr>
      <w:r>
        <w:rPr>
          <w:rFonts w:hint="default" w:ascii="宋体" w:hAnsi="宋体" w:eastAsia="Arial" w:cs="宋体"/>
          <w:color w:val="auto"/>
          <w:sz w:val="24"/>
          <w:szCs w:val="20"/>
          <w:lang w:val="zh-CN"/>
        </w:rPr>
        <w:t xml:space="preserve">甲方（全称）：</w:t>
      </w:r>
      <w:r>
        <w:rPr>
          <w:rFonts w:hint="default" w:ascii="宋体" w:hAnsi="宋体" w:eastAsia="Arial" w:cs="宋体"/>
          <w:color w:val="auto"/>
          <w:sz w:val="24"/>
          <w:szCs w:val="20"/>
          <w:u w:val="single"/>
          <w:lang w:eastAsia="zh-CN"/>
        </w:rPr>
        <w:t xml:space="preserve">江苏省盐城技师学院</w:t>
      </w:r>
      <w:r/>
    </w:p>
    <w:p>
      <w:pPr>
        <w:ind w:firstLine="482"/>
        <w:jc w:val="left"/>
        <w:spacing w:line="560" w:lineRule="exact"/>
        <w:widowControl/>
        <w:rPr>
          <w:rFonts w:ascii="宋体" w:hAnsi="宋体" w:eastAsia="Arial" w:cs="宋体"/>
          <w:color w:val="auto"/>
          <w:sz w:val="24"/>
          <w:szCs w:val="20"/>
          <w:lang w:val="zh-CN"/>
        </w:rPr>
      </w:pPr>
      <w:r>
        <w:rPr>
          <w:rFonts w:hint="default" w:ascii="宋体" w:hAnsi="宋体" w:eastAsia="Arial" w:cs="宋体"/>
          <w:color w:val="auto"/>
          <w:sz w:val="24"/>
          <w:szCs w:val="20"/>
          <w:lang w:val="zh-CN"/>
        </w:rPr>
        <w:t xml:space="preserve">乙方（全称）：</w:t>
      </w:r>
      <w:r>
        <w:rPr>
          <w:rFonts w:hint="eastAsia" w:ascii="宋体" w:hAnsi="宋体" w:eastAsia="宋体" w:cs="宋体"/>
          <w:sz w:val="24"/>
          <w:szCs w:val="20"/>
          <w:u w:val="single"/>
          <w:lang w:val="en-US" w:eastAsia="zh-CN"/>
        </w:rPr>
        <w:t xml:space="preserve">                  </w:t>
      </w:r>
      <w:r>
        <w:rPr>
          <w:rFonts w:hint="default" w:ascii="宋体" w:hAnsi="宋体" w:eastAsia="Arial" w:cs="宋体"/>
          <w:color w:val="auto"/>
          <w:sz w:val="24"/>
          <w:szCs w:val="20"/>
          <w:u w:val="none"/>
        </w:rPr>
        <w:t xml:space="preserve">                   </w:t>
      </w:r>
      <w:r/>
    </w:p>
    <w:p>
      <w:pPr>
        <w:ind w:firstLine="482"/>
        <w:jc w:val="left"/>
        <w:spacing w:line="560" w:lineRule="exact"/>
        <w:widowControl/>
        <w:rPr>
          <w:rFonts w:ascii="宋体" w:hAnsi="宋体" w:cs="宋体"/>
          <w:color w:val="auto"/>
          <w:sz w:val="24"/>
          <w:szCs w:val="20"/>
          <w:lang w:val="zh-CN"/>
        </w:rPr>
      </w:pPr>
      <w:r>
        <w:rPr>
          <w:rFonts w:hint="default" w:ascii="宋体" w:hAnsi="宋体" w:eastAsia="Arial" w:cs="宋体"/>
          <w:color w:val="auto"/>
          <w:sz w:val="24"/>
          <w:szCs w:val="20"/>
          <w:lang w:val="zh-CN"/>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cs="宋体"/>
          <w:color w:val="auto"/>
          <w:sz w:val="24"/>
          <w:szCs w:val="20"/>
          <w:lang w:val="zh-CN"/>
        </w:rPr>
        <w:t xml:space="preserve">     </w:t>
      </w:r>
      <w:r/>
    </w:p>
    <w:p>
      <w:pPr>
        <w:ind w:firstLine="482"/>
        <w:jc w:val="left"/>
        <w:spacing w:line="560" w:lineRule="exact"/>
        <w:widowControl/>
        <w:rPr>
          <w:rFonts w:ascii="宋体" w:hAnsi="宋体" w:eastAsia="Arial" w:cs="宋体"/>
          <w:b w:val="0"/>
          <w:bCs w:val="0"/>
          <w:color w:val="auto"/>
          <w:sz w:val="24"/>
          <w:szCs w:val="20"/>
          <w:lang w:val="zh-CN"/>
        </w:rPr>
      </w:pPr>
      <w:r>
        <w:rPr>
          <w:rFonts w:hint="default" w:ascii="宋体" w:hAnsi="宋体" w:eastAsia="Arial" w:cs="宋体"/>
          <w:b w:val="0"/>
          <w:bCs w:val="0"/>
          <w:color w:val="auto"/>
          <w:sz w:val="24"/>
          <w:szCs w:val="20"/>
          <w:lang w:val="zh-CN"/>
        </w:rPr>
        <w:t xml:space="preserve">1.项目信息</w:t>
      </w:r>
      <w:r/>
    </w:p>
    <w:p>
      <w:pPr>
        <w:ind w:firstLine="482"/>
        <w:jc w:val="left"/>
        <w:spacing w:line="560" w:lineRule="exact"/>
        <w:widowControl/>
        <w:rPr>
          <w:rFonts w:hint="default" w:ascii="宋体" w:hAnsi="宋体" w:eastAsia="Arial" w:cs="宋体"/>
          <w:bCs w:val="0"/>
          <w:color w:val="auto"/>
          <w:sz w:val="24"/>
          <w:szCs w:val="20"/>
          <w:u w:val="single"/>
          <w:lang w:val="zh-CN" w:eastAsia="zh-CN"/>
        </w:rPr>
      </w:pPr>
      <w:r>
        <w:rPr>
          <w:rFonts w:hint="default" w:ascii="宋体" w:hAnsi="宋体" w:eastAsia="Arial" w:cs="宋体"/>
          <w:color w:val="auto"/>
          <w:sz w:val="24"/>
          <w:szCs w:val="20"/>
          <w:lang w:val="zh-CN"/>
        </w:rPr>
        <w:t xml:space="preserve">（1）采购项目名称：</w:t>
      </w:r>
      <w:r>
        <w:rPr>
          <w:rFonts w:hint="eastAsia" w:ascii="宋体" w:hAnsi="宋体" w:eastAsia="Arial" w:cs="宋体"/>
          <w:color w:val="auto"/>
          <w:sz w:val="24"/>
          <w:szCs w:val="20"/>
          <w:u w:val="single"/>
          <w:lang w:val="zh-CN" w:eastAsia="zh-CN"/>
        </w:rPr>
        <w:t xml:space="preserve">江苏省盐城技师学院建筑机器人一体化学习工作站采购项目</w:t>
      </w:r>
      <w:r/>
    </w:p>
    <w:p>
      <w:pPr>
        <w:ind w:firstLine="482"/>
        <w:jc w:val="left"/>
        <w:spacing w:line="560" w:lineRule="exact"/>
        <w:widowControl/>
        <w:rPr>
          <w:rFonts w:ascii="宋体" w:hAnsi="宋体" w:eastAsia="Arial" w:cs="宋体"/>
          <w:bCs w:val="0"/>
          <w:color w:val="auto"/>
          <w:sz w:val="24"/>
          <w:szCs w:val="20"/>
          <w:u w:val="none"/>
          <w:lang w:val="zh-CN"/>
        </w:rPr>
      </w:pPr>
      <w:r>
        <w:rPr>
          <w:rFonts w:hint="default" w:ascii="宋体" w:hAnsi="宋体" w:eastAsia="Arial" w:cs="宋体"/>
          <w:bCs w:val="0"/>
          <w:color w:val="auto"/>
          <w:sz w:val="24"/>
          <w:szCs w:val="20"/>
          <w:lang w:val="zh-CN"/>
        </w:rPr>
        <w:t xml:space="preserve"> </w:t>
      </w:r>
      <w:r>
        <w:rPr>
          <w:rFonts w:hint="eastAsia" w:ascii="宋体" w:hAnsi="宋体" w:eastAsia="宋体" w:cs="宋体"/>
          <w:bCs w:val="0"/>
          <w:sz w:val="24"/>
          <w:szCs w:val="20"/>
          <w:lang w:val="en-US" w:eastAsia="zh-CN"/>
        </w:rPr>
        <w:t xml:space="preserve">    </w:t>
      </w:r>
      <w:r>
        <w:rPr>
          <w:rFonts w:hint="default" w:ascii="宋体" w:hAnsi="宋体" w:eastAsia="Arial" w:cs="宋体"/>
          <w:bCs w:val="0"/>
          <w:color w:val="auto"/>
          <w:sz w:val="24"/>
          <w:szCs w:val="20"/>
          <w:lang w:val="zh-CN"/>
        </w:rPr>
        <w:t xml:space="preserve">采购项目编号：</w:t>
      </w:r>
      <w:r>
        <w:rPr>
          <w:rFonts w:hint="eastAsia" w:ascii="宋体" w:hAnsi="宋体" w:eastAsia="Arial" w:cs="宋体"/>
          <w:bCs w:val="0"/>
          <w:color w:val="0000ff"/>
          <w:sz w:val="24"/>
          <w:szCs w:val="20"/>
          <w:u w:val="single"/>
          <w:lang w:val="zh-CN" w:eastAsia="zh-CN"/>
        </w:rPr>
        <w:t xml:space="preserve">JSZC-320900-JSJW-G2025-0092</w:t>
      </w:r>
      <w:r>
        <w:rPr>
          <w:rFonts w:hint="default" w:ascii="宋体" w:hAnsi="宋体" w:eastAsia="Arial" w:cs="宋体"/>
          <w:bCs w:val="0"/>
          <w:color w:val="0000ff"/>
          <w:sz w:val="24"/>
          <w:szCs w:val="20"/>
          <w:u w:val="single"/>
          <w:lang w:val="zh-CN"/>
        </w:rPr>
        <w:t xml:space="preserve">  </w:t>
      </w:r>
      <w:r>
        <w:rPr>
          <w:rFonts w:hint="default" w:ascii="宋体" w:hAnsi="宋体" w:eastAsia="Arial" w:cs="宋体"/>
          <w:bCs w:val="0"/>
          <w:color w:val="0000ff"/>
          <w:sz w:val="24"/>
          <w:szCs w:val="20"/>
          <w:u w:val="single"/>
          <w:lang w:val="zh-CN" w:eastAsia="zh-CN"/>
        </w:rPr>
        <w:t xml:space="preserve"> </w:t>
      </w:r>
      <w:r>
        <w:rPr>
          <w:rFonts w:hint="default" w:ascii="宋体" w:hAnsi="宋体" w:eastAsia="Arial" w:cs="宋体"/>
          <w:bCs w:val="0"/>
          <w:color w:val="auto"/>
          <w:sz w:val="24"/>
          <w:szCs w:val="20"/>
          <w:u w:val="none"/>
          <w:lang w:val="zh-CN" w:eastAsia="zh-CN"/>
        </w:rPr>
        <w:t xml:space="preserve">   </w:t>
      </w:r>
      <w:r>
        <w:rPr>
          <w:rFonts w:hint="default" w:ascii="宋体" w:hAnsi="宋体" w:eastAsia="Arial" w:cs="宋体"/>
          <w:bCs w:val="0"/>
          <w:color w:val="auto"/>
          <w:sz w:val="24"/>
          <w:szCs w:val="20"/>
          <w:u w:val="none"/>
          <w:lang w:val="zh-CN"/>
        </w:rPr>
        <w:t xml:space="preserve"> </w:t>
      </w:r>
      <w:r/>
    </w:p>
    <w:p>
      <w:pPr>
        <w:ind w:firstLine="482"/>
        <w:jc w:val="left"/>
        <w:spacing w:line="560" w:lineRule="exact"/>
        <w:widowControl/>
        <w:rPr>
          <w:rFonts w:ascii="宋体" w:hAnsi="宋体" w:eastAsia="Arial" w:cs="宋体"/>
          <w:color w:val="auto"/>
          <w:sz w:val="24"/>
          <w:szCs w:val="20"/>
          <w:u w:val="none"/>
          <w:lang w:val="zh-CN"/>
        </w:rPr>
      </w:pPr>
      <w:r>
        <w:rPr>
          <w:rFonts w:hint="default" w:ascii="宋体" w:hAnsi="宋体" w:eastAsia="Arial" w:cs="宋体"/>
          <w:color w:val="auto"/>
          <w:sz w:val="24"/>
          <w:szCs w:val="20"/>
          <w:lang w:val="zh-CN"/>
        </w:rPr>
        <w:t xml:space="preserve">（2）采购计划编号：</w:t>
      </w:r>
      <w:r>
        <w:rPr>
          <w:rFonts w:hint="eastAsia" w:ascii="宋体" w:hAnsi="宋体" w:eastAsia="宋体" w:cs="宋体"/>
          <w:sz w:val="24"/>
          <w:szCs w:val="20"/>
          <w:u w:val="single"/>
          <w:lang w:val="en-US" w:eastAsia="zh-CN"/>
        </w:rPr>
        <w:t xml:space="preserve">                           </w:t>
      </w:r>
      <w:r>
        <w:rPr>
          <w:rFonts w:hint="default" w:ascii="宋体" w:hAnsi="宋体" w:eastAsia="Arial" w:cs="宋体"/>
          <w:color w:val="auto"/>
          <w:sz w:val="24"/>
          <w:szCs w:val="20"/>
          <w:u w:val="none"/>
          <w:lang w:val="zh-CN"/>
        </w:rPr>
        <w:t xml:space="preserve">           </w:t>
      </w:r>
      <w:r/>
    </w:p>
    <w:p>
      <w:pPr>
        <w:ind w:firstLine="482"/>
        <w:jc w:val="left"/>
        <w:spacing w:line="560" w:lineRule="exact"/>
        <w:widowControl/>
        <w:rPr>
          <w:rFonts w:ascii="宋体" w:hAnsi="宋体" w:eastAsia="Arial" w:cs="宋体"/>
          <w:color w:val="auto"/>
          <w:sz w:val="24"/>
          <w:szCs w:val="20"/>
          <w:lang w:val="zh-CN"/>
        </w:rPr>
      </w:pPr>
      <w:r>
        <w:rPr>
          <w:rFonts w:hint="default" w:ascii="宋体" w:hAnsi="宋体" w:eastAsia="Arial" w:cs="宋体"/>
          <w:color w:val="auto"/>
          <w:sz w:val="24"/>
          <w:szCs w:val="20"/>
          <w:lang w:val="zh-CN"/>
        </w:rPr>
        <w:t xml:space="preserve">（3）项目内容：</w:t>
      </w:r>
      <w:r>
        <w:rPr>
          <w:rFonts w:hint="eastAsia" w:ascii="宋体" w:hAnsi="宋体" w:eastAsia="宋体" w:cs="宋体"/>
          <w:sz w:val="24"/>
          <w:szCs w:val="20"/>
          <w:u w:val="single"/>
          <w:lang w:val="en-US" w:eastAsia="zh-CN"/>
        </w:rPr>
        <w:t xml:space="preserve">                               </w:t>
      </w:r>
      <w:r>
        <w:rPr>
          <w:rFonts w:hint="default" w:ascii="宋体" w:hAnsi="宋体" w:eastAsia="Arial" w:cs="宋体"/>
          <w:color w:val="auto"/>
          <w:sz w:val="24"/>
          <w:szCs w:val="20"/>
          <w:u w:val="none"/>
          <w:lang w:val="zh-CN"/>
        </w:rPr>
        <w:t xml:space="preserve">           </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w:t>
      </w:r>
      <w:r>
        <w:rPr>
          <w:rFonts w:hint="eastAsia" w:ascii="宋体" w:hAnsi="宋体" w:cs="宋体"/>
          <w:color w:val="auto"/>
          <w:sz w:val="24"/>
          <w:szCs w:val="20"/>
          <w:lang w:val="en-US" w:eastAsia="zh-CN"/>
        </w:rPr>
        <w:t xml:space="preserve">4</w:t>
      </w:r>
      <w:r>
        <w:rPr>
          <w:rFonts w:hint="eastAsia" w:ascii="宋体" w:hAnsi="宋体" w:cs="宋体"/>
          <w:color w:val="auto"/>
          <w:sz w:val="24"/>
          <w:szCs w:val="20"/>
          <w:lang w:val="zh-CN"/>
        </w:rPr>
        <w:t xml:space="preserve">）采购标的及数量（台/套/个/架/组等）：</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品牌：</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规格型号：</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采购标的的技术要求、商务要求具体见附件。</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①涉及信息类产品，请填写该产品关键部件的品牌、型号：</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标的名称：</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关键部件：</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品牌：</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型号：</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关键部件：</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品牌：</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型号：</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lang w:val="en-US" w:eastAsia="zh-CN"/>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关键部件：</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品牌：</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型号：</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lang w:val="en-US" w:eastAsia="zh-CN"/>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②涉及车辆采购，请填写是否属于新能源汽车：</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是，《政府采购品目分类目录》底级品目名称：</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数量：</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 金额：</w:t>
      </w:r>
      <w:r>
        <w:rPr>
          <w:rFonts w:hint="eastAsia" w:ascii="宋体" w:hAnsi="宋体" w:cs="宋体"/>
          <w:color w:val="auto"/>
          <w:sz w:val="24"/>
          <w:szCs w:val="20"/>
          <w:u w:val="single"/>
          <w:lang w:val="zh-CN"/>
        </w:rPr>
        <w:t xml:space="preserve"> </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（4）政府采购组织形式：</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政府集中采购</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部门集中采购</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þ</w:t>
      </w:r>
      <w:r>
        <w:rPr>
          <w:rFonts w:hint="eastAsia" w:ascii="宋体" w:hAnsi="宋体" w:cs="宋体"/>
          <w:color w:val="auto"/>
          <w:sz w:val="24"/>
          <w:szCs w:val="20"/>
          <w:lang w:val="zh-CN"/>
        </w:rPr>
        <w:t xml:space="preserve">分散采购</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（5）政府采购方式：</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公开招标</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邀请招标</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竞争性谈判</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竞争性磋商</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询价</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单一来源</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框架协议其他：</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（6）中标（成交）采购标的制造商是否为中小企业：</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本合同是否为专门面向中小企业的采购合同（中小企业预留合同）：</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若本项目不专门面向中小企业采购，是否给予小微企业评审优惠：</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中标（成交）采购标的制造商是否为残疾人福利性单位：</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中标（成交）采购标的制造商是否为监狱企业：</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numPr>
          <w:ilvl w:val="0"/>
          <w:numId w:val="1"/>
        </w:num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合同是否分包：</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96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分包主要内容：</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分包供应商/制造商名称（如供应商和制造商不同，请分别填写）：</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分包供应商/制造商类型（如果供应商和制造商不同，只填写制造商类型）：</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大型企业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中型企业  </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小微型企业</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残疾人福利性单位</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监狱企业</w:t>
      </w:r>
      <w:r>
        <w:rPr>
          <w:rFonts w:hint="eastAsia" w:ascii="宋体" w:hAnsi="宋体" w:cs="宋体"/>
          <w:color w:val="auto"/>
          <w:sz w:val="24"/>
          <w:szCs w:val="20"/>
        </w:rPr>
        <w:t xml:space="preserve"> </w:t>
      </w: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其他</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（8）中标（成交）供应商是否为外商投资企业：</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外商投资企业类型：</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全部由外国投资者投资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部分由外国投资者投资</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（9）是否涉及进口产品：</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是，《政府采购品目分类目录》底级品目名称：</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金额：</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        国别：</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品牌：</w:t>
      </w:r>
      <w:r>
        <w:rPr>
          <w:rFonts w:hint="eastAsia" w:ascii="宋体" w:hAnsi="宋体" w:cs="宋体"/>
          <w:color w:val="auto"/>
          <w:sz w:val="24"/>
          <w:szCs w:val="20"/>
          <w:u w:val="single"/>
        </w:rPr>
        <w:t xml:space="preserve">        </w:t>
      </w:r>
      <w:r>
        <w:rPr>
          <w:rFonts w:hint="eastAsia" w:ascii="宋体" w:hAnsi="宋体" w:cs="宋体"/>
          <w:color w:val="auto"/>
          <w:sz w:val="24"/>
          <w:szCs w:val="20"/>
          <w:lang w:val="zh-CN"/>
        </w:rPr>
        <w:t xml:space="preserve"> 规格型号：</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 （10）是否涉及节能产品：</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是，《节能产品政府采购品目清单》的底级品目名称：</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强制采购</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优先采购</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787"/>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是否涉及环境标志产品：</w:t>
      </w:r>
      <w:r/>
    </w:p>
    <w:p>
      <w:pPr>
        <w:ind w:firstLine="480"/>
        <w:spacing w:line="520" w:lineRule="exact"/>
        <w:widowControl/>
        <w:rPr>
          <w:rFonts w:hint="default" w:ascii="宋体" w:hAnsi="宋体" w:eastAsiaTheme="minorEastAsia"/>
          <w:b/>
          <w:bCs/>
          <w:color w:val="auto"/>
          <w:sz w:val="24"/>
          <w:u w:val="single"/>
          <w:lang w:val="en-US" w:eastAsia="zh-CN"/>
        </w:rPr>
      </w:pPr>
      <w:r>
        <w:rPr>
          <w:rFonts w:hint="eastAsia" w:ascii="宋体" w:hAnsi="宋体" w:cs="宋体"/>
          <w:color w:val="auto"/>
          <w:sz w:val="24"/>
          <w:szCs w:val="20"/>
          <w:lang w:val="zh-CN"/>
        </w:rPr>
        <w:t xml:space="preserve"></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是，《环境标志产品政府采购品目清单》的底级品目名称：</w:t>
      </w:r>
      <w:r>
        <w:rPr>
          <w:rFonts w:hint="eastAsia" w:ascii="宋体" w:hAnsi="宋体"/>
          <w:b/>
          <w:bCs/>
          <w:color w:val="auto"/>
          <w:sz w:val="24"/>
          <w:u w:val="single"/>
          <w:lang w:val="en-US" w:eastAsia="zh-CN"/>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强制采购</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优先采购</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是否涉及绿色产品：</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是，绿色产品政府采购相关政策确定的底级品目名称：</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强制采购</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优先采购</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p>
    <w:p>
      <w:pPr>
        <w:numPr>
          <w:ilvl w:val="0"/>
          <w:numId w:val="2"/>
        </w:num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否</w:t>
      </w:r>
      <w:r>
        <w:rPr>
          <w:rFonts w:hint="eastAsia" w:ascii="宋体" w:hAnsi="宋体" w:cs="宋体"/>
          <w:color w:val="auto"/>
          <w:sz w:val="24"/>
          <w:szCs w:val="20"/>
        </w:rPr>
        <w:t xml:space="preserve">    </w:t>
      </w: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不涉及</w:t>
      </w:r>
      <w:r/>
    </w:p>
    <w:p>
      <w:pPr>
        <w:ind w:firstLine="480"/>
        <w:spacing w:line="520" w:lineRule="exact"/>
        <w:widowControl/>
        <w:rPr>
          <w:rFonts w:ascii="宋体" w:hAnsi="宋体" w:cs="宋体"/>
          <w:b/>
          <w:bCs/>
          <w:color w:val="auto"/>
          <w:sz w:val="24"/>
          <w:szCs w:val="20"/>
          <w:lang w:val="zh-CN"/>
        </w:rPr>
      </w:pPr>
      <w:r>
        <w:rPr>
          <w:rFonts w:hint="eastAsia" w:ascii="宋体" w:hAnsi="宋体" w:cs="宋体"/>
          <w:b/>
          <w:bCs/>
          <w:color w:val="auto"/>
          <w:sz w:val="24"/>
          <w:szCs w:val="20"/>
        </w:rPr>
        <w:t xml:space="preserve">2.</w:t>
      </w:r>
      <w:r>
        <w:rPr>
          <w:rFonts w:hint="eastAsia" w:ascii="宋体" w:hAnsi="宋体" w:cs="宋体"/>
          <w:b/>
          <w:bCs/>
          <w:color w:val="auto"/>
          <w:sz w:val="24"/>
          <w:szCs w:val="20"/>
          <w:lang w:val="zh-CN"/>
        </w:rPr>
        <w:t xml:space="preserve">合同金额</w:t>
      </w:r>
      <w:r/>
    </w:p>
    <w:p>
      <w:pPr>
        <w:ind w:firstLine="48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（1）合同金额小写：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p>
    <w:p>
      <w:pPr>
        <w:ind w:firstLine="1982"/>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大写：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p>
    <w:p>
      <w:pPr>
        <w:ind w:firstLine="48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分包金额（如有）小写：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p>
    <w:p>
      <w:pPr>
        <w:ind w:firstLine="240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大写：</w:t>
      </w:r>
      <w:r>
        <w:rPr>
          <w:rFonts w:hint="eastAsia" w:ascii="宋体" w:hAnsi="宋体" w:cs="宋体"/>
          <w:color w:val="auto"/>
          <w:sz w:val="24"/>
          <w:szCs w:val="20"/>
          <w:u w:val="single"/>
        </w:rPr>
        <w:t xml:space="preserve">                 </w:t>
      </w:r>
      <w:r>
        <w:rPr>
          <w:rFonts w:hint="eastAsia" w:ascii="宋体" w:hAnsi="宋体" w:cs="宋体"/>
          <w:color w:val="auto"/>
          <w:sz w:val="24"/>
          <w:szCs w:val="20"/>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（2）付款方式</w:t>
      </w:r>
      <w:r>
        <w:rPr>
          <w:rFonts w:hint="eastAsia" w:ascii="宋体" w:hAnsi="宋体" w:cs="宋体"/>
          <w:color w:val="auto"/>
          <w:sz w:val="24"/>
          <w:szCs w:val="20"/>
          <w:u w:val="single"/>
          <w:lang w:val="zh-CN"/>
        </w:rPr>
        <w:t xml:space="preserve">（按项目实际勾选填写，具体详见专用条款第二节第12.2款）</w:t>
      </w:r>
      <w:r>
        <w:rPr>
          <w:rFonts w:hint="eastAsia" w:ascii="宋体" w:hAnsi="宋体" w:cs="宋体"/>
          <w:color w:val="auto"/>
          <w:sz w:val="24"/>
          <w:szCs w:val="20"/>
          <w:lang w:val="zh-CN"/>
        </w:rPr>
        <w:t xml:space="preserve">：</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全额付款：</w:t>
      </w:r>
      <w:r>
        <w:rPr>
          <w:rFonts w:hint="eastAsia" w:ascii="宋体" w:hAnsi="宋体" w:cs="宋体"/>
          <w:color w:val="auto"/>
          <w:sz w:val="24"/>
          <w:szCs w:val="20"/>
          <w:u w:val="single"/>
          <w:lang w:val="zh-CN"/>
        </w:rPr>
        <w:t xml:space="preserve">  （应明确一次性支付合同款项的条件）</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分期付款： </w:t>
      </w:r>
      <w:r>
        <w:rPr>
          <w:rFonts w:hint="eastAsia" w:ascii="宋体" w:hAnsi="宋体" w:cs="宋体"/>
          <w:color w:val="auto"/>
          <w:sz w:val="24"/>
          <w:szCs w:val="20"/>
          <w:u w:val="single"/>
          <w:lang w:val="zh-CN"/>
        </w:rPr>
        <w:t xml:space="preserve"> （</w:t>
      </w:r>
      <w:r>
        <w:rPr>
          <w:rFonts w:hint="eastAsia" w:ascii="宋体" w:hAnsi="宋体" w:cs="宋体"/>
          <w:color w:val="auto"/>
          <w:sz w:val="24"/>
          <w:u w:val="single"/>
        </w:rPr>
        <w:t xml:space="preserve">具体详见专用条款第二节第12.2款</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，其中涉及预付款的：</w:t>
      </w:r>
      <w:r>
        <w:rPr>
          <w:rFonts w:hint="eastAsia" w:ascii="宋体" w:hAnsi="宋体" w:cs="宋体"/>
          <w:color w:val="auto"/>
          <w:sz w:val="24"/>
          <w:szCs w:val="20"/>
          <w:u w:val="single"/>
          <w:lang w:val="zh-CN"/>
        </w:rPr>
        <w:t xml:space="preserve"> （</w:t>
      </w:r>
      <w:r>
        <w:rPr>
          <w:rFonts w:hint="eastAsia" w:ascii="宋体" w:hAnsi="宋体" w:cs="宋体"/>
          <w:color w:val="auto"/>
          <w:sz w:val="24"/>
          <w:u w:val="single"/>
        </w:rPr>
        <w:t xml:space="preserve">具体详见专用条款第二节第12.2款</w:t>
      </w:r>
      <w:r>
        <w:rPr>
          <w:rFonts w:hint="eastAsia" w:ascii="宋体" w:hAnsi="宋体" w:cs="宋体"/>
          <w:color w:val="auto"/>
          <w:sz w:val="24"/>
          <w:szCs w:val="20"/>
          <w:u w:val="single"/>
          <w:lang w:val="zh-CN"/>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成本补偿：</w:t>
      </w:r>
      <w:r>
        <w:rPr>
          <w:rFonts w:hint="eastAsia" w:ascii="宋体" w:hAnsi="宋体" w:cs="宋体"/>
          <w:color w:val="auto"/>
          <w:sz w:val="24"/>
          <w:szCs w:val="20"/>
          <w:u w:val="single"/>
          <w:lang w:val="zh-CN"/>
        </w:rPr>
        <w:t xml:space="preserve">  （应明确按照成本补偿方式的支付方式和支付条件）  </w:t>
      </w:r>
      <w:r>
        <w:rPr>
          <w:rFonts w:hint="eastAsia" w:ascii="宋体" w:hAnsi="宋体" w:cs="宋体"/>
          <w:color w:val="auto"/>
          <w:sz w:val="24"/>
          <w:szCs w:val="20"/>
          <w:lang w:val="zh-CN"/>
        </w:rPr>
        <w:t xml:space="preserve"> </w:t>
      </w:r>
      <w:r/>
    </w:p>
    <w:p>
      <w:pPr>
        <w:ind w:firstLine="480"/>
        <w:spacing w:line="520" w:lineRule="exact"/>
        <w:widowControl/>
        <w:rPr>
          <w:rFonts w:ascii="宋体" w:hAnsi="宋体" w:cs="宋体"/>
          <w:color w:val="auto"/>
          <w:sz w:val="24"/>
          <w:szCs w:val="20"/>
          <w:lang w:val="zh-CN"/>
        </w:rPr>
      </w:pPr>
      <w:r>
        <w:rPr>
          <w:rFonts w:ascii="Wingdings" w:hAnsi="Wingdings" w:eastAsia="Wingdings" w:cs="Wingdings"/>
          <w:color w:val="auto"/>
          <w:sz w:val="24"/>
          <w:szCs w:val="20"/>
          <w:lang w:val="zh-CN"/>
        </w:rPr>
        <w:t xml:space="preserve"></w:t>
      </w:r>
      <w:r>
        <w:rPr>
          <w:rFonts w:hint="eastAsia" w:ascii="宋体" w:hAnsi="宋体" w:cs="宋体"/>
          <w:color w:val="auto"/>
          <w:sz w:val="24"/>
          <w:szCs w:val="20"/>
          <w:lang w:val="zh-CN"/>
        </w:rPr>
        <w:t xml:space="preserve">绩效激励：</w:t>
      </w:r>
      <w:r>
        <w:rPr>
          <w:rFonts w:hint="eastAsia" w:ascii="宋体" w:hAnsi="宋体" w:cs="宋体"/>
          <w:color w:val="auto"/>
          <w:sz w:val="24"/>
          <w:szCs w:val="20"/>
          <w:u w:val="single"/>
          <w:lang w:val="zh-CN"/>
        </w:rPr>
        <w:t xml:space="preserve"> （应明确按照绩效激励方式的支付方式和支付条件）</w:t>
      </w:r>
      <w:r>
        <w:rPr>
          <w:rFonts w:hint="eastAsia" w:ascii="宋体" w:hAnsi="宋体" w:cs="宋体"/>
          <w:color w:val="auto"/>
          <w:sz w:val="24"/>
          <w:szCs w:val="20"/>
          <w:u w:val="single"/>
        </w:rPr>
        <w:t xml:space="preserve"> </w:t>
      </w:r>
      <w:r>
        <w:rPr>
          <w:rFonts w:hint="eastAsia" w:ascii="宋体" w:hAnsi="宋体" w:cs="宋体"/>
          <w:color w:val="auto"/>
          <w:sz w:val="24"/>
          <w:szCs w:val="20"/>
          <w:u w:val="single"/>
          <w:lang w:val="zh-CN"/>
        </w:rPr>
        <w:t xml:space="preserve"> </w:t>
      </w:r>
      <w:r>
        <w:rPr>
          <w:rFonts w:hint="eastAsia" w:ascii="宋体" w:hAnsi="宋体" w:cs="宋体"/>
          <w:color w:val="auto"/>
          <w:sz w:val="24"/>
          <w:szCs w:val="20"/>
          <w:lang w:val="zh-CN"/>
        </w:rPr>
        <w:t xml:space="preserve">  </w:t>
      </w:r>
      <w:r/>
    </w:p>
    <w:p>
      <w:pPr>
        <w:ind w:firstLine="482"/>
        <w:spacing w:line="520" w:lineRule="exact"/>
        <w:widowControl/>
        <w:rPr>
          <w:rFonts w:ascii="宋体" w:hAnsi="宋体" w:cs="宋体"/>
          <w:b/>
          <w:bCs/>
          <w:color w:val="auto"/>
          <w:sz w:val="24"/>
          <w:lang w:val="zh-CN"/>
        </w:rPr>
      </w:pPr>
      <w:r>
        <w:rPr>
          <w:rFonts w:hint="eastAsia" w:ascii="宋体" w:hAnsi="宋体" w:cs="宋体"/>
          <w:b/>
          <w:bCs/>
          <w:color w:val="auto"/>
          <w:sz w:val="24"/>
          <w:szCs w:val="20"/>
        </w:rPr>
        <w:t xml:space="preserve">3.</w:t>
      </w:r>
      <w:r>
        <w:rPr>
          <w:rFonts w:hint="eastAsia" w:ascii="宋体" w:hAnsi="宋体" w:cs="宋体"/>
          <w:b/>
          <w:bCs/>
          <w:color w:val="auto"/>
          <w:sz w:val="24"/>
          <w:szCs w:val="20"/>
          <w:lang w:val="zh-CN"/>
        </w:rPr>
        <w:t xml:space="preserve">合同履行</w:t>
      </w:r>
      <w:r/>
    </w:p>
    <w:p>
      <w:pPr>
        <w:ind w:firstLine="480"/>
        <w:spacing w:line="520" w:lineRule="exact"/>
        <w:widowControl/>
        <w:rPr>
          <w:rFonts w:ascii="宋体" w:hAnsi="宋体" w:cs="宋体"/>
          <w:color w:val="auto"/>
          <w:sz w:val="24"/>
        </w:rPr>
      </w:pPr>
      <w:r>
        <w:rPr>
          <w:rFonts w:hint="eastAsia" w:ascii="宋体" w:hAnsi="宋体" w:cs="宋体"/>
          <w:color w:val="auto"/>
          <w:sz w:val="24"/>
          <w:szCs w:val="20"/>
          <w:lang w:val="zh-CN"/>
        </w:rPr>
        <w:t xml:space="preserve">（1）起始日期：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日，完成日期：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ind w:firstLine="482"/>
        <w:jc w:val="left"/>
        <w:spacing w:line="560" w:lineRule="exact"/>
        <w:widowControl/>
        <w:rPr>
          <w:rFonts w:hint="eastAsia" w:ascii="宋体" w:hAnsi="宋体" w:eastAsia="Arial" w:cs="宋体"/>
          <w:bCs w:val="0"/>
          <w:color w:val="auto"/>
          <w:sz w:val="24"/>
          <w:szCs w:val="20"/>
          <w:lang w:val="zh-CN"/>
        </w:rPr>
      </w:pPr>
      <w:r>
        <w:rPr>
          <w:rFonts w:hint="eastAsia" w:ascii="宋体" w:hAnsi="宋体" w:eastAsia="Arial" w:cs="宋体"/>
          <w:color w:val="auto"/>
          <w:sz w:val="24"/>
          <w:szCs w:val="20"/>
          <w:lang w:val="zh-CN"/>
        </w:rPr>
        <w:t xml:space="preserve">（2）履约地点</w:t>
      </w:r>
      <w:r>
        <w:rPr>
          <w:rFonts w:hint="eastAsia" w:ascii="宋体" w:hAnsi="宋体" w:eastAsia="Arial" w:cs="宋体"/>
          <w:bCs w:val="0"/>
          <w:color w:val="auto"/>
          <w:sz w:val="24"/>
          <w:szCs w:val="20"/>
          <w:lang w:val="zh-CN"/>
        </w:rPr>
        <w:t xml:space="preserve">：</w:t>
      </w:r>
      <w:r>
        <w:rPr>
          <w:rFonts w:hint="eastAsia" w:ascii="宋体" w:hAnsi="宋体" w:eastAsia="Arial" w:cs="宋体"/>
          <w:color w:val="auto"/>
          <w:sz w:val="24"/>
          <w:szCs w:val="20"/>
          <w:u w:val="single"/>
          <w:lang w:val="zh-CN" w:eastAsia="zh-CN"/>
        </w:rPr>
        <w:t xml:space="preserve">江苏省盐城技师学院</w:t>
      </w:r>
      <w:r/>
    </w:p>
    <w:p>
      <w:pPr>
        <w:ind w:firstLine="480"/>
        <w:spacing w:line="520" w:lineRule="exact"/>
        <w:widowControl/>
        <w:rPr>
          <w:rFonts w:ascii="宋体" w:hAnsi="宋体" w:cs="宋体"/>
          <w:color w:val="auto"/>
          <w:sz w:val="24"/>
        </w:rPr>
      </w:pPr>
      <w:r>
        <w:rPr>
          <w:rFonts w:hint="eastAsia" w:ascii="宋体" w:hAnsi="宋体" w:cs="宋体"/>
          <w:bCs/>
          <w:color w:val="auto"/>
          <w:sz w:val="24"/>
        </w:rPr>
        <w:t xml:space="preserve">（3）</w:t>
      </w:r>
      <w:r>
        <w:rPr>
          <w:rFonts w:hint="eastAsia" w:ascii="宋体" w:hAnsi="宋体" w:cs="宋体"/>
          <w:color w:val="auto"/>
          <w:sz w:val="24"/>
        </w:rPr>
        <w:t xml:space="preserve">履约担保：履约担保：是否收取履约保证金：</w:t>
      </w:r>
      <w:r>
        <w:rPr>
          <w:rFonts w:ascii="Wingdings" w:hAnsi="Wingdings" w:eastAsia="Wingdings" w:cs="Wingdings"/>
          <w:color w:val="auto"/>
          <w:sz w:val="24"/>
        </w:rPr>
        <w:t xml:space="preserve">þ</w:t>
      </w:r>
      <w:r>
        <w:rPr>
          <w:rFonts w:hint="eastAsia" w:ascii="宋体" w:hAnsi="宋体" w:cs="宋体"/>
          <w:color w:val="auto"/>
          <w:sz w:val="24"/>
        </w:rPr>
        <w:t xml:space="preserve">是    </w:t>
      </w:r>
      <w:r>
        <w:rPr>
          <w:rFonts w:ascii="Wingdings" w:hAnsi="Wingdings" w:eastAsia="Wingdings" w:cs="Wingdings"/>
          <w:color w:val="auto"/>
          <w:sz w:val="24"/>
        </w:rPr>
        <w:t xml:space="preserve"></w:t>
      </w:r>
      <w:r>
        <w:rPr>
          <w:rFonts w:hint="eastAsia" w:ascii="宋体" w:hAnsi="宋体" w:cs="宋体"/>
          <w:color w:val="auto"/>
          <w:sz w:val="24"/>
        </w:rPr>
        <w:t xml:space="preserve">否</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cs="宋体"/>
          <w:color w:val="auto"/>
          <w:sz w:val="24"/>
        </w:rPr>
        <w:t xml:space="preserve">    </w:t>
      </w:r>
      <w:r>
        <w:rPr>
          <w:rFonts w:hint="eastAsia" w:ascii="宋体" w:hAnsi="宋体" w:cs="宋体"/>
          <w:color w:val="auto"/>
          <w:sz w:val="24"/>
          <w:szCs w:val="20"/>
        </w:rPr>
        <w:t xml:space="preserve"> </w:t>
      </w:r>
      <w:r>
        <w:rPr>
          <w:rFonts w:hint="eastAsia" w:ascii="宋体" w:hAnsi="宋体" w:eastAsia="Arial" w:cs="宋体"/>
          <w:color w:val="auto"/>
          <w:sz w:val="24"/>
          <w:szCs w:val="20"/>
        </w:rPr>
        <w:t xml:space="preserve">收取履约保证金形式：</w:t>
      </w:r>
      <w:r>
        <w:rPr>
          <w:rFonts w:hint="eastAsia" w:ascii="宋体" w:hAnsi="宋体" w:eastAsia="Arial" w:cs="宋体"/>
          <w:color w:val="auto"/>
          <w:sz w:val="24"/>
          <w:szCs w:val="20"/>
          <w:u w:val="single"/>
        </w:rPr>
        <w:t xml:space="preserve">       </w:t>
      </w:r>
      <w:r>
        <w:rPr>
          <w:rFonts w:hint="eastAsia" w:ascii="宋体" w:hAnsi="宋体" w:eastAsia="Arial" w:cs="宋体"/>
          <w:color w:val="auto"/>
          <w:sz w:val="24"/>
          <w:szCs w:val="20"/>
          <w:highlight w:val="none"/>
          <w:u w:val="single"/>
        </w:rPr>
        <w:t xml:space="preserve">见3.（4）      </w:t>
      </w:r>
      <w:r>
        <w:rPr>
          <w:rFonts w:hint="eastAsia" w:ascii="宋体" w:hAnsi="宋体" w:eastAsia="Arial" w:cs="宋体"/>
          <w:color w:val="auto"/>
          <w:sz w:val="24"/>
          <w:szCs w:val="20"/>
          <w:highlight w:val="none"/>
          <w:u w:val="none"/>
        </w:rPr>
        <w:t xml:space="preserve">  </w:t>
      </w:r>
      <w:r>
        <w:rPr>
          <w:rFonts w:hint="eastAsia" w:ascii="宋体" w:hAnsi="宋体" w:eastAsia="Arial" w:cs="宋体"/>
          <w:color w:val="auto"/>
          <w:sz w:val="24"/>
          <w:szCs w:val="20"/>
          <w:highlight w:val="none"/>
        </w:rPr>
        <w:t xml:space="preserve">                                                         </w:t>
      </w:r>
      <w:r/>
    </w:p>
    <w:p>
      <w:pPr>
        <w:ind w:firstLine="1027"/>
        <w:jc w:val="left"/>
        <w:spacing w:line="560" w:lineRule="exact"/>
        <w:widowControl/>
        <w:rPr>
          <w:rFonts w:hint="eastAsia" w:ascii="宋体" w:hAnsi="宋体" w:eastAsia="Arial" w:cs="宋体"/>
          <w:color w:val="auto"/>
          <w:sz w:val="24"/>
          <w:szCs w:val="20"/>
        </w:rPr>
      </w:pPr>
      <w:r>
        <w:rPr>
          <w:rFonts w:hint="eastAsia" w:ascii="宋体" w:hAnsi="宋体" w:eastAsia="Arial" w:cs="宋体"/>
          <w:color w:val="auto"/>
          <w:sz w:val="24"/>
          <w:szCs w:val="20"/>
          <w:highlight w:val="none"/>
        </w:rPr>
        <w:t xml:space="preserve">收取履约保证金金额：</w:t>
      </w:r>
      <w:r>
        <w:rPr>
          <w:rFonts w:hint="eastAsia" w:ascii="宋体" w:hAnsi="宋体" w:eastAsia="Arial" w:cs="宋体"/>
          <w:color w:val="auto"/>
          <w:sz w:val="24"/>
          <w:szCs w:val="20"/>
          <w:highlight w:val="none"/>
          <w:u w:val="single"/>
        </w:rPr>
        <w:t xml:space="preserve">       </w:t>
      </w:r>
      <w:bookmarkStart w:id="170" w:name="OLE_LINK80"/>
      <w:r/>
      <w:bookmarkStart w:id="171" w:name="OLE_LINK79"/>
      <w:r>
        <w:rPr>
          <w:rFonts w:hint="eastAsia" w:ascii="宋体" w:hAnsi="宋体" w:eastAsia="Arial" w:cs="宋体"/>
          <w:color w:val="auto"/>
          <w:sz w:val="24"/>
          <w:szCs w:val="20"/>
          <w:u w:val="single"/>
        </w:rPr>
        <w:t xml:space="preserve">合同价的10%</w:t>
      </w:r>
      <w:bookmarkEnd w:id="170"/>
      <w:r/>
      <w:bookmarkEnd w:id="171"/>
      <w:r>
        <w:rPr>
          <w:rFonts w:hint="eastAsia" w:ascii="宋体" w:hAnsi="宋体" w:eastAsia="Arial" w:cs="宋体"/>
          <w:color w:val="auto"/>
          <w:sz w:val="24"/>
          <w:szCs w:val="20"/>
          <w:u w:val="single"/>
        </w:rPr>
        <w:t xml:space="preserve">     </w:t>
      </w:r>
      <w:r>
        <w:rPr>
          <w:rFonts w:hint="eastAsia" w:ascii="宋体" w:hAnsi="宋体" w:eastAsia="Arial" w:cs="宋体"/>
          <w:color w:val="auto"/>
          <w:sz w:val="24"/>
          <w:szCs w:val="20"/>
          <w:u w:val="none"/>
        </w:rPr>
        <w:t xml:space="preserve"> </w:t>
      </w:r>
      <w:r>
        <w:rPr>
          <w:rFonts w:hint="eastAsia" w:ascii="宋体" w:hAnsi="宋体" w:eastAsia="Arial" w:cs="宋体"/>
          <w:color w:val="auto"/>
          <w:sz w:val="24"/>
          <w:szCs w:val="20"/>
        </w:rPr>
        <w:t xml:space="preserve">                                                         </w:t>
      </w:r>
      <w:r/>
    </w:p>
    <w:p>
      <w:pPr>
        <w:ind w:firstLine="1027"/>
        <w:jc w:val="left"/>
        <w:spacing w:line="560" w:lineRule="exact"/>
        <w:widowControl/>
        <w:rPr>
          <w:rFonts w:hint="eastAsia" w:ascii="宋体" w:hAnsi="宋体" w:eastAsia="Arial" w:cs="宋体"/>
          <w:bCs w:val="0"/>
          <w:color w:val="auto"/>
          <w:sz w:val="24"/>
          <w:szCs w:val="20"/>
          <w:u w:val="none"/>
        </w:rPr>
      </w:pPr>
      <w:r>
        <w:rPr>
          <w:rFonts w:hint="eastAsia" w:ascii="宋体" w:hAnsi="宋体" w:eastAsia="Arial" w:cs="宋体"/>
          <w:color w:val="auto"/>
          <w:sz w:val="24"/>
          <w:szCs w:val="20"/>
        </w:rPr>
        <w:t xml:space="preserve">履约担保期限：</w:t>
      </w:r>
      <w:r>
        <w:rPr>
          <w:rFonts w:hint="eastAsia" w:ascii="宋体" w:hAnsi="宋体" w:eastAsia="宋体" w:cs="宋体"/>
          <w:sz w:val="24"/>
          <w:szCs w:val="20"/>
          <w:u w:val="single"/>
          <w:lang w:val="en-US" w:eastAsia="zh-CN"/>
        </w:rPr>
        <w:t xml:space="preserve">                              </w:t>
      </w:r>
      <w:r>
        <w:rPr>
          <w:rFonts w:hint="eastAsia" w:ascii="宋体" w:hAnsi="宋体" w:eastAsia="Arial" w:cs="宋体"/>
          <w:color w:val="auto"/>
          <w:sz w:val="24"/>
          <w:szCs w:val="20"/>
        </w:rPr>
        <w:t xml:space="preserve"> </w:t>
      </w:r>
      <w:r>
        <w:rPr>
          <w:rFonts w:hint="eastAsia" w:ascii="宋体" w:hAnsi="宋体" w:eastAsia="Arial" w:cs="宋体"/>
          <w:bCs w:val="0"/>
          <w:color w:val="auto"/>
          <w:sz w:val="24"/>
          <w:szCs w:val="20"/>
          <w:u w:val="none"/>
        </w:rPr>
        <w:t xml:space="preserve">                              </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w:t>
      </w:r>
      <w:r>
        <w:rPr>
          <w:rFonts w:hint="eastAsia" w:ascii="宋体" w:hAnsi="宋体" w:eastAsia="Arial" w:cs="宋体"/>
          <w:color w:val="auto"/>
          <w:sz w:val="24"/>
          <w:szCs w:val="20"/>
        </w:rPr>
        <w:t xml:space="preserve">4</w:t>
      </w:r>
      <w:r>
        <w:rPr>
          <w:rFonts w:hint="eastAsia" w:ascii="宋体" w:hAnsi="宋体" w:eastAsia="Arial" w:cs="宋体"/>
          <w:color w:val="auto"/>
          <w:sz w:val="24"/>
          <w:szCs w:val="20"/>
          <w:lang w:val="zh-CN"/>
        </w:rPr>
        <w:t xml:space="preserve">）确需收取履约保证金的，履约保证金的缴纳形式：</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cs="宋体"/>
          <w:color w:val="auto"/>
          <w:sz w:val="24"/>
          <w:szCs w:val="20"/>
          <w:lang w:val="zh-CN"/>
        </w:rPr>
      </w:pPr>
      <w:r>
        <w:rPr>
          <w:rFonts w:hint="eastAsia" w:ascii="宋体" w:hAnsi="宋体" w:eastAsia="Arial" w:cs="宋体"/>
          <w:color w:val="auto"/>
          <w:sz w:val="24"/>
          <w:szCs w:val="20"/>
        </w:rPr>
        <w:t xml:space="preserve">履约保证金金额为合同金额的10%，采购人对第三方信用服务机构依据标准规范评定为 AA 级政府采购供应商</w:t>
      </w:r>
      <w:r>
        <w:rPr>
          <w:rFonts w:hint="eastAsia" w:ascii="宋体" w:hAnsi="宋体" w:eastAsia="Arial" w:cs="宋体"/>
          <w:color w:val="auto"/>
          <w:sz w:val="24"/>
          <w:szCs w:val="20"/>
          <w:lang w:val="zh-CN"/>
        </w:rPr>
        <w:t xml:space="preserve">（需在签订采购合同前提供信用管理 部门备案的第三方信用报告，且信用报告通过“信用盐城网”可查实）</w:t>
      </w:r>
      <w:r>
        <w:rPr>
          <w:rFonts w:hint="eastAsia" w:ascii="宋体" w:hAnsi="宋体" w:eastAsia="Arial" w:cs="宋体"/>
          <w:color w:val="0000ff"/>
          <w:sz w:val="24"/>
          <w:szCs w:val="20"/>
          <w:lang w:val="zh-CN"/>
        </w:rPr>
        <w:t xml:space="preserve">，降低履约保证金缴纳比例为5%。  </w:t>
      </w:r>
      <w:r>
        <w:rPr>
          <w:rFonts w:hint="eastAsia" w:ascii="宋体" w:hAnsi="宋体" w:cs="宋体"/>
          <w:color w:val="auto"/>
          <w:sz w:val="24"/>
          <w:szCs w:val="20"/>
          <w:lang w:val="zh-CN"/>
        </w:rPr>
        <w:t xml:space="preserve">                                  </w:t>
      </w:r>
      <w:r/>
    </w:p>
    <w:p>
      <w:pPr>
        <w:numPr>
          <w:ilvl w:val="0"/>
          <w:numId w:val="3"/>
        </w:num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分期履行要求：</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（6）风险处置措施和替代方案：</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b/>
          <w:bCs/>
          <w:color w:val="auto"/>
          <w:sz w:val="24"/>
          <w:szCs w:val="20"/>
          <w:lang w:val="zh-CN"/>
        </w:rPr>
      </w:pPr>
      <w:r>
        <w:rPr>
          <w:rFonts w:hint="eastAsia" w:ascii="宋体" w:hAnsi="宋体" w:cs="宋体"/>
          <w:b/>
          <w:bCs/>
          <w:color w:val="auto"/>
          <w:sz w:val="24"/>
          <w:szCs w:val="20"/>
        </w:rPr>
        <w:t xml:space="preserve">4.</w:t>
      </w:r>
      <w:r>
        <w:rPr>
          <w:rFonts w:hint="eastAsia" w:ascii="宋体" w:hAnsi="宋体" w:cs="宋体"/>
          <w:b/>
          <w:bCs/>
          <w:color w:val="auto"/>
          <w:sz w:val="24"/>
          <w:szCs w:val="20"/>
          <w:lang w:val="zh-CN"/>
        </w:rPr>
        <w:t xml:space="preserve">合同验收</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hint="eastAsia" w:ascii="宋体" w:hAnsi="宋体" w:cs="宋体"/>
          <w:color w:val="auto"/>
          <w:sz w:val="24"/>
          <w:szCs w:val="20"/>
        </w:rPr>
        <w:t xml:space="preserve">1</w:t>
      </w:r>
      <w:r>
        <w:rPr>
          <w:rFonts w:hint="eastAsia" w:ascii="宋体" w:hAnsi="宋体" w:cs="宋体"/>
          <w:color w:val="auto"/>
          <w:sz w:val="24"/>
          <w:szCs w:val="20"/>
          <w:lang w:val="zh-CN"/>
        </w:rPr>
        <w:t xml:space="preserve">）验收组织方式：</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自行组织</w:t>
      </w:r>
      <w:r>
        <w:rPr>
          <w:rFonts w:hint="eastAsia" w:ascii="宋体" w:hAnsi="宋体" w:cs="宋体"/>
          <w:color w:val="auto"/>
          <w:sz w:val="24"/>
          <w:szCs w:val="20"/>
        </w:rPr>
        <w:t xml:space="preserve">  </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委托第三方组织</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验收主体：</w:t>
      </w:r>
      <w:r>
        <w:rPr>
          <w:rFonts w:hint="eastAsia" w:ascii="宋体" w:hAnsi="宋体" w:eastAsia="Arial" w:cs="宋体"/>
          <w:color w:val="auto"/>
          <w:sz w:val="24"/>
          <w:szCs w:val="20"/>
          <w:u w:val="none"/>
        </w:rPr>
        <w:t xml:space="preserve">                 </w:t>
      </w:r>
      <w:r>
        <w:rPr>
          <w:rFonts w:hint="eastAsia" w:ascii="宋体" w:hAnsi="宋体" w:eastAsia="Arial" w:cs="宋体"/>
          <w:color w:val="auto"/>
          <w:sz w:val="24"/>
          <w:szCs w:val="20"/>
          <w:lang w:val="zh-CN"/>
        </w:rPr>
        <w:t xml:space="preserve">                           </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是否邀请本项目的其他供应商参加验收：</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  </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否</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是否邀请专家参加验收：</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  </w:t>
      </w:r>
      <w:r>
        <w:rPr>
          <w:rFonts w:hint="eastAsia" w:ascii="宋体" w:hAnsi="宋体" w:eastAsia="Arial" w:cs="宋体"/>
          <w:color w:val="auto"/>
          <w:sz w:val="24"/>
          <w:szCs w:val="20"/>
        </w:rPr>
        <w:t xml:space="preserve"></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否</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是否邀请服务对象参加验收：</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  </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否</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是否邀请第三方检测机构参加验收：</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  </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否</w:t>
      </w:r>
      <w:r/>
    </w:p>
    <w:p>
      <w:pPr>
        <w:ind w:firstLine="482"/>
        <w:jc w:val="left"/>
        <w:spacing w:line="560" w:lineRule="exact"/>
        <w:widowControl/>
        <w:rPr>
          <w:rFonts w:hint="eastAsia" w:ascii="宋体" w:hAnsi="宋体" w:eastAsia="Arial" w:cs="宋体"/>
          <w:sz w:val="24"/>
          <w:szCs w:val="20"/>
          <w:lang w:val="zh-CN"/>
        </w:rPr>
      </w:pPr>
      <w:r>
        <w:rPr>
          <w:rFonts w:hint="eastAsia" w:ascii="宋体" w:hAnsi="宋体" w:eastAsia="Arial" w:cs="宋体"/>
          <w:color w:val="auto"/>
          <w:sz w:val="24"/>
          <w:szCs w:val="20"/>
          <w:lang w:val="zh-CN"/>
        </w:rPr>
        <w:t xml:space="preserve">是否进行抽查检测：是，抽查比例：</w:t>
      </w:r>
      <w:r>
        <w:rPr>
          <w:rFonts w:hint="eastAsia" w:ascii="宋体" w:hAnsi="宋体" w:eastAsia="Arial" w:cs="宋体"/>
          <w:color w:val="auto"/>
          <w:sz w:val="24"/>
          <w:szCs w:val="20"/>
          <w:u w:val="single"/>
          <w:lang w:val="zh-CN"/>
        </w:rPr>
        <w:t xml:space="preserve">         </w:t>
      </w:r>
      <w:r>
        <w:rPr>
          <w:rFonts w:hint="eastAsia" w:ascii="宋体" w:hAnsi="宋体" w:eastAsia="宋体" w:cs="宋体"/>
          <w:sz w:val="24"/>
          <w:szCs w:val="20"/>
          <w:u w:val="single"/>
          <w:lang w:val="en-US" w:eastAsia="zh-CN"/>
        </w:rPr>
        <w:t xml:space="preserve"> </w:t>
      </w:r>
      <w:r>
        <w:rPr>
          <w:rFonts w:hint="eastAsia" w:ascii="宋体" w:hAnsi="宋体" w:eastAsia="Arial" w:cs="宋体"/>
          <w:color w:val="auto"/>
          <w:sz w:val="24"/>
          <w:szCs w:val="20"/>
          <w:lang w:val="zh-CN"/>
        </w:rPr>
        <w:t xml:space="preserve">否</w:t>
      </w:r>
      <w:r/>
    </w:p>
    <w:p>
      <w:pPr>
        <w:ind w:left="0"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是否存在破坏性检测：</w:t>
      </w:r>
      <w:r>
        <w:rPr>
          <w:rFonts w:ascii="Wingdings" w:hAnsi="Wingdings" w:eastAsia="Wingdings" w:cs="Wingdings"/>
          <w:color w:val="auto"/>
          <w:sz w:val="24"/>
        </w:rPr>
        <w:t xml:space="preserve"></w:t>
      </w:r>
      <w:r>
        <w:rPr>
          <w:rFonts w:hint="eastAsia" w:ascii="宋体" w:hAnsi="宋体" w:eastAsia="Arial" w:cs="宋体"/>
          <w:color w:val="auto"/>
          <w:sz w:val="24"/>
          <w:szCs w:val="20"/>
          <w:lang w:val="zh-CN"/>
        </w:rPr>
        <w:t xml:space="preserve">是，</w:t>
      </w:r>
      <w:r>
        <w:rPr>
          <w:rFonts w:hint="eastAsia" w:ascii="宋体" w:hAnsi="宋体" w:eastAsia="Arial" w:cs="宋体"/>
          <w:color w:val="auto"/>
          <w:sz w:val="24"/>
          <w:szCs w:val="20"/>
          <w:u w:val="none"/>
          <w:lang w:val="zh-CN"/>
        </w:rPr>
        <w:t xml:space="preserve">（应明确对被破坏的检测产品的处理方式    </w:t>
      </w:r>
      <w:r>
        <w:rPr>
          <w:rFonts w:hint="eastAsia" w:ascii="宋体" w:hAnsi="宋体" w:eastAsia="Arial" w:cs="宋体"/>
          <w:color w:val="auto"/>
          <w:sz w:val="24"/>
          <w:szCs w:val="20"/>
          <w:lang w:val="zh-CN"/>
        </w:rPr>
        <w:t xml:space="preserve">     否</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验收组织的其他事项：</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u w:val="single"/>
          <w:lang w:val="zh-CN"/>
        </w:rPr>
      </w:pPr>
      <w:r>
        <w:rPr>
          <w:rFonts w:hint="eastAsia" w:ascii="宋体" w:hAnsi="宋体" w:cs="宋体"/>
          <w:color w:val="auto"/>
          <w:sz w:val="24"/>
          <w:szCs w:val="20"/>
          <w:lang w:val="zh-CN"/>
        </w:rPr>
        <w:t xml:space="preserve">（2）履约验收时间：</w:t>
      </w:r>
      <w:r>
        <w:rPr>
          <w:rFonts w:hint="eastAsia" w:ascii="宋体" w:hAnsi="宋体" w:cs="宋体"/>
          <w:color w:val="auto"/>
          <w:sz w:val="24"/>
          <w:szCs w:val="20"/>
          <w:u w:val="single"/>
          <w:lang w:val="zh-CN"/>
        </w:rPr>
        <w:t xml:space="preserve">（计划于何时验收/供应商提出验收申请之日起   日内组织验收）</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（3）履约验收方式：</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一次性验收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w:t>
      </w:r>
      <w:r>
        <w:rPr>
          <w:rFonts w:hint="eastAsia" w:ascii="宋体" w:hAnsi="宋体" w:cs="宋体"/>
          <w:color w:val="auto"/>
          <w:sz w:val="24"/>
          <w:szCs w:val="20"/>
        </w:rPr>
        <w:t xml:space="preserve">                 </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分期/分项验收：</w:t>
      </w:r>
      <w:r>
        <w:rPr>
          <w:rFonts w:hint="eastAsia" w:ascii="宋体" w:hAnsi="宋体" w:cs="宋体"/>
          <w:color w:val="auto"/>
          <w:sz w:val="24"/>
          <w:szCs w:val="20"/>
          <w:u w:val="single"/>
          <w:lang w:val="zh-CN"/>
        </w:rPr>
        <w:t xml:space="preserve">（应明确分期/分项验收的工作安排）</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（4）履约验收程序：</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（5）履约验收的内容：</w:t>
      </w:r>
      <w:r>
        <w:rPr>
          <w:rFonts w:hint="eastAsia" w:ascii="宋体" w:hAnsi="宋体" w:cs="宋体"/>
          <w:color w:val="auto"/>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ascii="宋体" w:hAnsi="宋体" w:cs="宋体"/>
          <w:color w:val="auto"/>
          <w:sz w:val="24"/>
          <w:szCs w:val="20"/>
          <w:u w:val="single"/>
        </w:rPr>
      </w:pPr>
      <w:r>
        <w:rPr>
          <w:rFonts w:hint="eastAsia" w:ascii="宋体" w:hAnsi="宋体" w:cs="宋体"/>
          <w:color w:val="auto"/>
          <w:sz w:val="24"/>
          <w:szCs w:val="20"/>
          <w:lang w:val="zh-CN"/>
        </w:rPr>
        <w:t xml:space="preserve">（6）履约验收标准：</w:t>
      </w:r>
      <w:r>
        <w:rPr>
          <w:rFonts w:hint="eastAsia" w:ascii="宋体" w:hAnsi="宋体" w:cs="宋体"/>
          <w:color w:val="auto"/>
          <w:sz w:val="24"/>
          <w:szCs w:val="20"/>
          <w:u w:val="single"/>
        </w:rPr>
        <w:t xml:space="preserve">                                               </w:t>
      </w:r>
      <w:r/>
    </w:p>
    <w:p>
      <w:pPr>
        <w:ind w:firstLine="480"/>
        <w:spacing w:line="520" w:lineRule="exact"/>
        <w:widowControl/>
        <w:rPr>
          <w:rFonts w:ascii="宋体" w:hAnsi="宋体" w:cs="宋体"/>
          <w:color w:val="auto"/>
          <w:sz w:val="24"/>
          <w:szCs w:val="20"/>
          <w:lang w:val="zh-CN"/>
        </w:rPr>
      </w:pPr>
      <w:r>
        <w:rPr>
          <w:rFonts w:hint="eastAsia" w:ascii="宋体" w:hAnsi="宋体" w:cs="宋体"/>
          <w:color w:val="auto"/>
          <w:sz w:val="24"/>
          <w:szCs w:val="20"/>
          <w:lang w:val="zh-CN"/>
        </w:rPr>
        <w:t xml:space="preserve">（7）是否以采购活动中供应商提供的样品作为参考：</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是  </w:t>
      </w:r>
      <w:r>
        <w:rPr>
          <w:rFonts w:ascii="Wingdings" w:hAnsi="Wingdings" w:eastAsia="Wingdings" w:cs="Wingdings"/>
          <w:color w:val="auto"/>
          <w:sz w:val="24"/>
        </w:rPr>
        <w:t xml:space="preserve"></w:t>
      </w:r>
      <w:r>
        <w:rPr>
          <w:rFonts w:hint="eastAsia" w:ascii="宋体" w:hAnsi="宋体" w:cs="宋体"/>
          <w:color w:val="auto"/>
          <w:sz w:val="24"/>
          <w:szCs w:val="20"/>
          <w:lang w:val="zh-CN"/>
        </w:rPr>
        <w:t xml:space="preserve">否</w:t>
      </w:r>
      <w:r/>
    </w:p>
    <w:p>
      <w:pPr>
        <w:ind w:firstLine="480"/>
        <w:spacing w:line="520" w:lineRule="exact"/>
        <w:widowControl/>
        <w:rPr>
          <w:rFonts w:ascii="宋体" w:hAnsi="宋体" w:cs="宋体"/>
          <w:color w:val="auto"/>
          <w:sz w:val="24"/>
          <w:szCs w:val="20"/>
        </w:rPr>
      </w:pPr>
      <w:r>
        <w:rPr>
          <w:rFonts w:hint="eastAsia" w:ascii="宋体" w:hAnsi="宋体" w:cs="宋体"/>
          <w:color w:val="auto"/>
          <w:sz w:val="24"/>
          <w:szCs w:val="20"/>
          <w:lang w:val="zh-CN"/>
        </w:rPr>
        <w:t xml:space="preserve">（8）履约验收其他事项：</w:t>
      </w:r>
      <w:r>
        <w:rPr>
          <w:rFonts w:hint="eastAsia" w:ascii="宋体" w:hAnsi="宋体" w:cs="宋体"/>
          <w:color w:val="auto"/>
          <w:sz w:val="24"/>
          <w:szCs w:val="20"/>
          <w:u w:val="single"/>
        </w:rPr>
        <w:t xml:space="preserve">        </w:t>
      </w:r>
      <w:r>
        <w:rPr>
          <w:rFonts w:hint="eastAsia" w:ascii="宋体" w:hAnsi="宋体" w:cs="宋体"/>
          <w:color w:val="auto"/>
          <w:sz w:val="24"/>
          <w:szCs w:val="20"/>
          <w:u w:val="single"/>
          <w:lang w:val="zh-CN"/>
        </w:rPr>
        <w:t xml:space="preserve">（产权过户登记等）</w:t>
      </w:r>
      <w:r>
        <w:rPr>
          <w:rFonts w:hint="eastAsia" w:ascii="宋体" w:hAnsi="宋体" w:cs="宋体"/>
          <w:color w:val="auto"/>
          <w:sz w:val="24"/>
          <w:szCs w:val="20"/>
          <w:u w:val="single"/>
        </w:rPr>
        <w:t xml:space="preserve">                </w:t>
      </w:r>
      <w:r/>
    </w:p>
    <w:p>
      <w:pPr>
        <w:ind w:firstLine="482"/>
        <w:jc w:val="left"/>
        <w:spacing w:line="560" w:lineRule="exact"/>
        <w:widowControl/>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 xml:space="preserve">5.组成合同的文件</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本协议书与下列文件一起构成合同文件，如下述文件之间有任何抵触、矛盾或歧义，应按以下顺序解释：</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（1）政府采购合同协议书及其变更、补充协议</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（2）政府采购合同专用条款</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（3）政府采购合同通用条款</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（4）中标（成交）通知书</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（5）投标（响应）文件</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（6）采购文件</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（7）有关技术文件，图纸</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（8）国家法律、行政法规和规章制度规定或合同约定的作为合同组成部分的其他文件</w:t>
      </w:r>
      <w:r/>
    </w:p>
    <w:p>
      <w:pPr>
        <w:ind w:firstLine="482"/>
        <w:jc w:val="left"/>
        <w:spacing w:line="560" w:lineRule="exact"/>
        <w:widowControl/>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 xml:space="preserve">6.合同生效</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本合同自</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年</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月</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日生效。</w:t>
      </w:r>
      <w:r/>
    </w:p>
    <w:p>
      <w:pPr>
        <w:ind w:firstLine="480"/>
        <w:spacing w:line="520" w:lineRule="exact"/>
        <w:widowControl/>
        <w:rPr>
          <w:rFonts w:ascii="宋体" w:hAnsi="宋体" w:cs="宋体"/>
          <w:b/>
          <w:bCs/>
          <w:color w:val="auto"/>
          <w:sz w:val="24"/>
          <w:szCs w:val="20"/>
          <w:lang w:val="zh-CN"/>
        </w:rPr>
      </w:pPr>
      <w:r>
        <w:rPr>
          <w:rFonts w:hint="eastAsia" w:ascii="宋体" w:hAnsi="宋体" w:cs="宋体"/>
          <w:b/>
          <w:bCs/>
          <w:color w:val="auto"/>
          <w:sz w:val="24"/>
          <w:szCs w:val="20"/>
          <w:lang w:val="zh-CN"/>
        </w:rPr>
        <w:t xml:space="preserve">7.合同份数</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本合同一式</w:t>
      </w:r>
      <w:r>
        <w:rPr>
          <w:rFonts w:hint="eastAsia" w:ascii="宋体" w:hAnsi="宋体" w:eastAsia="Arial" w:cs="宋体"/>
          <w:color w:val="auto"/>
          <w:sz w:val="24"/>
          <w:szCs w:val="20"/>
          <w:u w:val="single"/>
          <w:lang w:val="zh-CN"/>
        </w:rPr>
        <w:t xml:space="preserve">    </w:t>
      </w:r>
      <w:r>
        <w:rPr>
          <w:rFonts w:hint="eastAsia" w:ascii="宋体" w:hAnsi="宋体" w:eastAsia="Arial" w:cs="宋体"/>
          <w:color w:val="auto"/>
          <w:sz w:val="24"/>
          <w:szCs w:val="20"/>
          <w:lang w:val="zh-CN"/>
        </w:rPr>
        <w:t xml:space="preserve">份，甲方执</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份，乙方执</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份，均具有同等法律效力。</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合同订立时间：</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年</w:t>
      </w:r>
      <w:r>
        <w:rPr>
          <w:rFonts w:hint="eastAsia" w:ascii="宋体" w:hAnsi="宋体" w:eastAsia="Arial" w:cs="宋体"/>
          <w:color w:val="auto"/>
          <w:sz w:val="24"/>
          <w:szCs w:val="20"/>
          <w:u w:val="none"/>
          <w:lang w:val="zh-CN"/>
        </w:rPr>
        <w:t xml:space="preserve"> </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月</w:t>
      </w:r>
      <w:r>
        <w:rPr>
          <w:rFonts w:hint="eastAsia" w:ascii="宋体" w:hAnsi="宋体" w:eastAsia="Arial" w:cs="宋体"/>
          <w:color w:val="auto"/>
          <w:sz w:val="24"/>
          <w:szCs w:val="20"/>
          <w:u w:val="none"/>
          <w:lang w:val="zh-CN"/>
        </w:rPr>
        <w:t xml:space="preserve"> </w:t>
      </w:r>
      <w:r>
        <w:rPr>
          <w:rFonts w:hint="eastAsia" w:ascii="宋体" w:hAnsi="宋体" w:eastAsia="Arial" w:cs="宋体"/>
          <w:sz w:val="24"/>
          <w:szCs w:val="20"/>
          <w:u w:val="single"/>
          <w:lang w:val="zh-CN"/>
        </w:rPr>
        <w:t xml:space="preserve">    </w:t>
      </w:r>
      <w:r>
        <w:rPr>
          <w:rFonts w:hint="eastAsia" w:ascii="宋体" w:hAnsi="宋体" w:eastAsia="Arial" w:cs="宋体"/>
          <w:color w:val="auto"/>
          <w:sz w:val="24"/>
          <w:szCs w:val="20"/>
          <w:lang w:val="zh-CN"/>
        </w:rPr>
        <w:t xml:space="preserve">日</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合同订立地点：</w:t>
      </w:r>
      <w:r>
        <w:rPr>
          <w:rFonts w:hint="eastAsia" w:ascii="宋体" w:hAnsi="宋体" w:eastAsia="Arial" w:cs="宋体"/>
          <w:color w:val="auto"/>
          <w:sz w:val="24"/>
          <w:szCs w:val="20"/>
          <w:u w:val="single"/>
          <w:lang w:eastAsia="zh-CN"/>
        </w:rPr>
        <w:t xml:space="preserve">江苏省盐城技师学院</w:t>
      </w:r>
      <w:r/>
    </w:p>
    <w:p>
      <w:pPr>
        <w:ind w:firstLine="482"/>
        <w:jc w:val="left"/>
        <w:spacing w:line="560" w:lineRule="exact"/>
        <w:widowControl/>
        <w:rPr>
          <w:rFonts w:hint="eastAsia" w:ascii="宋体" w:hAnsi="宋体" w:eastAsia="Arial" w:cs="宋体"/>
          <w:color w:val="auto"/>
          <w:sz w:val="24"/>
          <w:szCs w:val="20"/>
          <w:lang w:val="zh-CN"/>
        </w:rPr>
      </w:pPr>
      <w:r>
        <w:rPr>
          <w:rFonts w:hint="eastAsia" w:ascii="宋体" w:hAnsi="宋体" w:eastAsia="Arial" w:cs="宋体"/>
          <w:color w:val="auto"/>
          <w:sz w:val="24"/>
          <w:szCs w:val="20"/>
          <w:lang w:val="zh-CN"/>
        </w:rPr>
        <w:t xml:space="preserve">附件：具体标的及其技术要求和商务要求、联合协议、分包意向协议等。</w:t>
      </w:r>
      <w:r/>
    </w:p>
    <w:p>
      <w:pPr>
        <w:pStyle w:val="894"/>
        <w:spacing w:before="156"/>
        <w:rPr>
          <w:rFonts w:hint="default" w:ascii="黑体" w:hAnsi="黑体" w:eastAsia="黑体"/>
          <w:b w:val="0"/>
          <w:bCs w:val="0"/>
          <w:color w:val="auto"/>
          <w:sz w:val="28"/>
          <w:szCs w:val="28"/>
        </w:rPr>
      </w:pPr>
      <w:r>
        <w:rPr>
          <w:rFonts w:ascii="黑体" w:hAnsi="黑体" w:eastAsia="黑体"/>
          <w:b w:val="0"/>
          <w:bCs w:val="0"/>
          <w:color w:val="auto"/>
          <w:sz w:val="28"/>
          <w:szCs w:val="28"/>
        </w:rPr>
        <w:br w:type="page" w:clear="all"/>
      </w:r>
      <w:r/>
    </w:p>
    <w:tbl>
      <w:tblPr>
        <w:tblStyle w:val="856"/>
        <w:tblW w:w="4824" w:type="pct"/>
        <w:tblInd w:w="181"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768"/>
        <w:gridCol w:w="2356"/>
        <w:gridCol w:w="2025"/>
        <w:gridCol w:w="2073"/>
      </w:tblGrid>
      <w:tr>
        <w:trPr>
          <w:trHeight w:val="490"/>
        </w:trPr>
        <w:tc>
          <w:tcPr>
            <w:gridSpan w:val="2"/>
            <w:tcBorders>
              <w:bottom w:val="single" w:color="000000" w:sz="2" w:space="0"/>
              <w:right w:val="single" w:color="000000" w:sz="2" w:space="0"/>
            </w:tcBorders>
            <w:tcW w:w="4287" w:type="dxa"/>
            <w:vAlign w:val="center"/>
            <w:textDirection w:val="lrTb"/>
            <w:noWrap w:val="false"/>
          </w:tcPr>
          <w:p>
            <w:pPr>
              <w:jc w:val="center"/>
              <w:spacing w:line="360" w:lineRule="auto"/>
              <w:rPr>
                <w:color w:val="auto"/>
                <w:sz w:val="24"/>
              </w:rPr>
            </w:pPr>
            <w:r>
              <w:rPr>
                <w:color w:val="auto"/>
                <w:sz w:val="24"/>
              </w:rPr>
              <w:t xml:space="preserve">甲方</w:t>
            </w:r>
            <w:r>
              <w:rPr>
                <w:rFonts w:hint="eastAsia"/>
                <w:color w:val="auto"/>
                <w:sz w:val="24"/>
              </w:rPr>
              <w:t xml:space="preserve">（采购人</w:t>
            </w:r>
            <w:r>
              <w:rPr>
                <w:rFonts w:hint="eastAsia" w:ascii="宋体" w:hAnsi="宋体"/>
                <w:color w:val="auto"/>
                <w:sz w:val="24"/>
              </w:rPr>
              <w:t xml:space="preserve">、受采购人委托签订合同的单位或</w:t>
            </w:r>
            <w:r>
              <w:rPr>
                <w:rFonts w:hint="eastAsia"/>
                <w:color w:val="auto"/>
                <w:sz w:val="24"/>
              </w:rPr>
              <w:t xml:space="preserve">采购文件约定的合同甲方）</w:t>
            </w:r>
            <w:r/>
          </w:p>
        </w:tc>
        <w:tc>
          <w:tcPr>
            <w:gridSpan w:val="2"/>
            <w:tcBorders>
              <w:left w:val="single" w:color="000000" w:sz="2" w:space="0"/>
              <w:bottom w:val="single" w:color="000000" w:sz="2" w:space="0"/>
            </w:tcBorders>
            <w:tcW w:w="4259" w:type="dxa"/>
            <w:vAlign w:val="center"/>
            <w:textDirection w:val="lrTb"/>
            <w:noWrap w:val="false"/>
          </w:tcPr>
          <w:p>
            <w:pPr>
              <w:jc w:val="center"/>
              <w:spacing w:line="360" w:lineRule="auto"/>
              <w:rPr>
                <w:color w:val="auto"/>
                <w:sz w:val="24"/>
              </w:rPr>
            </w:pPr>
            <w:r>
              <w:rPr>
                <w:color w:val="auto"/>
                <w:sz w:val="24"/>
              </w:rPr>
              <w:t xml:space="preserve">乙方</w:t>
            </w:r>
            <w:r>
              <w:rPr>
                <w:rFonts w:hint="eastAsia"/>
                <w:color w:val="auto"/>
                <w:sz w:val="24"/>
              </w:rPr>
              <w:t xml:space="preserve">（供应商）</w:t>
            </w:r>
            <w:r/>
          </w:p>
        </w:tc>
      </w:tr>
      <w:tr>
        <w:trPr>
          <w:trHeight w:val="917"/>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color w:val="auto"/>
                <w:sz w:val="24"/>
              </w:rPr>
              <w:t xml:space="preserve">单位名称</w:t>
            </w:r>
            <w:r>
              <w:rPr>
                <w:rFonts w:hint="eastAsia"/>
                <w:color w:val="auto"/>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单位名称</w:t>
            </w:r>
            <w:r>
              <w:rPr>
                <w:rFonts w:hint="eastAsia"/>
                <w:color w:val="auto"/>
                <w:sz w:val="24"/>
              </w:rPr>
              <w:t xml:space="preserve">（公章或合同章）</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cantSplit/>
          <w:trHeight w:val="1171"/>
        </w:trPr>
        <w:tc>
          <w:tcPr>
            <w:tcBorders>
              <w:top w:val="single" w:color="000000" w:sz="2" w:space="0"/>
              <w:right w:val="single" w:color="000000" w:sz="2" w:space="0"/>
            </w:tcBorders>
            <w:tcW w:w="1823" w:type="dxa"/>
            <w:vAlign w:val="center"/>
            <w:vMerge w:val="restart"/>
            <w:textDirection w:val="lrTb"/>
            <w:noWrap w:val="false"/>
          </w:tcPr>
          <w:p>
            <w:pPr>
              <w:jc w:val="center"/>
              <w:spacing w:line="360" w:lineRule="auto"/>
              <w:rPr>
                <w:color w:val="auto"/>
                <w:sz w:val="24"/>
              </w:rPr>
            </w:pPr>
            <w:r>
              <w:rPr>
                <w:color w:val="auto"/>
                <w:sz w:val="24"/>
              </w:rPr>
              <w:t xml:space="preserve">法定代表人</w:t>
            </w:r>
            <w:r/>
          </w:p>
          <w:p>
            <w:pPr>
              <w:ind w:firstLine="115"/>
              <w:jc w:val="center"/>
              <w:spacing w:line="360" w:lineRule="auto"/>
              <w:rPr>
                <w:color w:val="auto"/>
                <w:sz w:val="24"/>
              </w:rPr>
            </w:pPr>
            <w:r>
              <w:rPr>
                <w:rFonts w:hint="eastAsia"/>
                <w:color w:val="auto"/>
                <w:sz w:val="24"/>
              </w:rPr>
              <w:t xml:space="preserve">或其</w:t>
            </w:r>
            <w:r>
              <w:rPr>
                <w:color w:val="auto"/>
                <w:sz w:val="24"/>
              </w:rPr>
              <w:t xml:space="preserve">委托代理人</w:t>
            </w:r>
            <w:r>
              <w:rPr>
                <w:rFonts w:hint="eastAsia"/>
                <w:color w:val="auto"/>
                <w:sz w:val="24"/>
              </w:rPr>
              <w:t xml:space="preserve">（签章）</w:t>
            </w:r>
            <w:r/>
          </w:p>
        </w:tc>
        <w:tc>
          <w:tcPr>
            <w:tcBorders>
              <w:top w:val="single" w:color="000000" w:sz="2" w:space="0"/>
              <w:left w:val="single" w:color="000000" w:sz="2" w:space="0"/>
              <w:right w:val="single" w:color="000000" w:sz="2" w:space="0"/>
            </w:tcBorders>
            <w:tcW w:w="2464" w:type="dxa"/>
            <w:vAlign w:val="center"/>
            <w:vMerge w:val="restart"/>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法定代表人</w:t>
            </w:r>
            <w:r/>
          </w:p>
          <w:p>
            <w:pPr>
              <w:jc w:val="center"/>
              <w:spacing w:line="360" w:lineRule="auto"/>
              <w:rPr>
                <w:color w:val="auto"/>
                <w:sz w:val="24"/>
              </w:rPr>
            </w:pPr>
            <w:r>
              <w:rPr>
                <w:rFonts w:hint="eastAsia"/>
                <w:color w:val="auto"/>
                <w:sz w:val="24"/>
              </w:rPr>
              <w:t xml:space="preserve">或其</w:t>
            </w:r>
            <w:r>
              <w:rPr>
                <w:color w:val="auto"/>
                <w:sz w:val="24"/>
              </w:rPr>
              <w:t xml:space="preserve">委托代理人</w:t>
            </w:r>
            <w:r>
              <w:rPr>
                <w:rFonts w:hint="eastAsia"/>
                <w:color w:val="auto"/>
                <w:sz w:val="24"/>
              </w:rPr>
              <w:t xml:space="preserve">（签章）</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z w:val="24"/>
              </w:rPr>
            </w:pPr>
            <w:r>
              <w:rPr>
                <w:color w:val="auto"/>
                <w:sz w:val="24"/>
              </w:rPr>
            </w:r>
            <w:r/>
          </w:p>
        </w:tc>
      </w:tr>
      <w:tr>
        <w:trPr>
          <w:cantSplit/>
          <w:trHeight w:val="483"/>
        </w:trPr>
        <w:tc>
          <w:tcPr>
            <w:tcBorders>
              <w:bottom w:val="single" w:color="000000" w:sz="2" w:space="0"/>
              <w:right w:val="single" w:color="000000" w:sz="2" w:space="0"/>
            </w:tcBorders>
            <w:tcW w:w="1823" w:type="dxa"/>
            <w:vAlign w:val="center"/>
            <w:vMerge w:val="continue"/>
            <w:textDirection w:val="lrTb"/>
            <w:noWrap w:val="false"/>
          </w:tcPr>
          <w:p>
            <w:pPr>
              <w:jc w:val="center"/>
              <w:spacing w:line="360" w:lineRule="auto"/>
              <w:rPr>
                <w:color w:val="auto"/>
                <w:sz w:val="24"/>
              </w:rPr>
            </w:pPr>
            <w:r>
              <w:rPr>
                <w:color w:val="auto"/>
                <w:sz w:val="24"/>
              </w:rPr>
            </w:r>
            <w:r/>
          </w:p>
        </w:tc>
        <w:tc>
          <w:tcPr>
            <w:tcBorders>
              <w:left w:val="single" w:color="000000" w:sz="2" w:space="0"/>
              <w:bottom w:val="single" w:color="000000" w:sz="2" w:space="0"/>
              <w:right w:val="single" w:color="000000" w:sz="2" w:space="0"/>
            </w:tcBorders>
            <w:tcW w:w="2464" w:type="dxa"/>
            <w:vAlign w:val="center"/>
            <w:vMerge w:val="continue"/>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rFonts w:hint="eastAsia"/>
                <w:color w:val="auto"/>
                <w:sz w:val="24"/>
              </w:rPr>
              <w:t xml:space="preserve">拥有者性别</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rFonts w:hint="eastAsia"/>
                <w:color w:val="auto"/>
                <w:sz w:val="24"/>
              </w:rPr>
              <w:t xml:space="preserve">住所</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rFonts w:hint="eastAsia"/>
                <w:color w:val="auto"/>
                <w:sz w:val="24"/>
              </w:rPr>
              <w:t xml:space="preserve">住所</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color w:val="auto"/>
                <w:sz w:val="24"/>
              </w:rPr>
              <w:t xml:space="preserve">联 系 人</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联 系 人</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color w:val="auto"/>
                <w:sz w:val="24"/>
              </w:rPr>
              <w:t xml:space="preserve">联系电话</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联系电话</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rFonts w:hint="eastAsia"/>
                <w:color w:val="auto"/>
                <w:sz w:val="24"/>
              </w:rPr>
              <w:t xml:space="preserve">通信地址</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rFonts w:hint="eastAsia"/>
                <w:color w:val="auto"/>
                <w:sz w:val="24"/>
              </w:rPr>
              <w:t xml:space="preserve">通信地址</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color w:val="auto"/>
                <w:sz w:val="24"/>
              </w:rPr>
              <w:t xml:space="preserve">邮政编码</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邮政编码</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rFonts w:hint="eastAsia"/>
                <w:color w:val="auto"/>
                <w:sz w:val="24"/>
              </w:rPr>
              <w:t xml:space="preserve">电子邮箱</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rFonts w:hint="eastAsia"/>
                <w:color w:val="auto"/>
                <w:sz w:val="24"/>
              </w:rPr>
              <w:t xml:space="preserve">电子邮箱</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rFonts w:hint="eastAsia"/>
                <w:color w:val="auto"/>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rFonts w:hint="eastAsia"/>
                <w:color w:val="auto"/>
                <w:sz w:val="24"/>
              </w:rPr>
              <w:t xml:space="preserve">统一社会信用代码</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开户名称</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开户银行</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483"/>
        </w:trPr>
        <w:tc>
          <w:tcPr>
            <w:tcBorders>
              <w:top w:val="single" w:color="000000" w:sz="2" w:space="0"/>
              <w:bottom w:val="single" w:color="000000" w:sz="2" w:space="0"/>
              <w:right w:val="single" w:color="000000" w:sz="2" w:space="0"/>
            </w:tcBorders>
            <w:tcW w:w="1823"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464" w:type="dxa"/>
            <w:vAlign w:val="center"/>
            <w:textDirection w:val="lrTb"/>
            <w:noWrap w:val="false"/>
          </w:tcPr>
          <w:p>
            <w:pPr>
              <w:jc w:val="center"/>
              <w:spacing w:line="360" w:lineRule="auto"/>
              <w:rPr>
                <w:color w:val="auto"/>
                <w:sz w:val="24"/>
              </w:rPr>
            </w:pPr>
            <w:r>
              <w:rPr>
                <w:color w:val="auto"/>
                <w:sz w:val="24"/>
              </w:rPr>
            </w:r>
            <w:r/>
          </w:p>
        </w:tc>
        <w:tc>
          <w:tcPr>
            <w:tcBorders>
              <w:top w:val="single" w:color="000000" w:sz="2" w:space="0"/>
              <w:left w:val="single" w:color="000000" w:sz="2" w:space="0"/>
              <w:bottom w:val="single" w:color="000000" w:sz="2" w:space="0"/>
              <w:right w:val="single" w:color="000000" w:sz="2" w:space="0"/>
            </w:tcBorders>
            <w:tcW w:w="2092" w:type="dxa"/>
            <w:vAlign w:val="center"/>
            <w:textDirection w:val="lrTb"/>
            <w:noWrap w:val="false"/>
          </w:tcPr>
          <w:p>
            <w:pPr>
              <w:jc w:val="center"/>
              <w:spacing w:line="360" w:lineRule="auto"/>
              <w:rPr>
                <w:color w:val="auto"/>
                <w:sz w:val="24"/>
              </w:rPr>
            </w:pPr>
            <w:r>
              <w:rPr>
                <w:color w:val="auto"/>
                <w:sz w:val="24"/>
              </w:rPr>
              <w:t xml:space="preserve">银行账号</w:t>
            </w:r>
            <w:r/>
          </w:p>
        </w:tc>
        <w:tc>
          <w:tcPr>
            <w:tcBorders>
              <w:top w:val="single" w:color="000000" w:sz="2" w:space="0"/>
              <w:left w:val="single" w:color="000000" w:sz="2" w:space="0"/>
              <w:bottom w:val="single" w:color="000000" w:sz="2" w:space="0"/>
            </w:tcBorders>
            <w:tcW w:w="2167" w:type="dxa"/>
            <w:vAlign w:val="center"/>
            <w:textDirection w:val="lrTb"/>
            <w:noWrap w:val="false"/>
          </w:tcPr>
          <w:p>
            <w:pPr>
              <w:jc w:val="center"/>
              <w:spacing w:line="360" w:lineRule="auto"/>
              <w:rPr>
                <w:color w:val="auto"/>
                <w:spacing w:val="20"/>
                <w:sz w:val="24"/>
              </w:rPr>
            </w:pPr>
            <w:r>
              <w:rPr>
                <w:color w:val="auto"/>
                <w:spacing w:val="20"/>
                <w:sz w:val="24"/>
              </w:rPr>
            </w:r>
            <w:r/>
          </w:p>
        </w:tc>
      </w:tr>
      <w:tr>
        <w:trPr>
          <w:trHeight w:val="586"/>
        </w:trPr>
        <w:tc>
          <w:tcPr>
            <w:gridSpan w:val="4"/>
            <w:tcBorders>
              <w:top w:val="single" w:color="000000" w:sz="2" w:space="0"/>
            </w:tcBorders>
            <w:tcW w:w="8546" w:type="dxa"/>
            <w:vAlign w:val="center"/>
            <w:textDirection w:val="lrTb"/>
            <w:noWrap w:val="false"/>
          </w:tcPr>
          <w:p>
            <w:pPr>
              <w:jc w:val="center"/>
              <w:spacing w:line="360" w:lineRule="auto"/>
              <w:rPr>
                <w:color w:val="auto"/>
                <w:spacing w:val="20"/>
                <w:sz w:val="24"/>
              </w:rPr>
            </w:pPr>
            <w:r>
              <w:rPr>
                <w:rFonts w:hint="eastAsia" w:ascii="宋体" w:hAnsi="宋体"/>
                <w:color w:val="auto"/>
                <w:sz w:val="24"/>
              </w:rPr>
              <w:t xml:space="preserve">注：涉及联合体或其他合同主体的信息应按上表格式加列。</w:t>
            </w:r>
            <w:r/>
          </w:p>
        </w:tc>
      </w:tr>
    </w:tbl>
    <w:p>
      <w:pPr>
        <w:pStyle w:val="894"/>
        <w:jc w:val="center"/>
        <w:spacing w:before="156" w:afterAutospacing="0" w:line="400" w:lineRule="exact"/>
        <w:rPr>
          <w:rFonts w:hint="default" w:ascii="黑体" w:hAnsi="黑体" w:eastAsia="黑体"/>
          <w:color w:val="auto"/>
          <w:sz w:val="28"/>
          <w:szCs w:val="28"/>
        </w:rPr>
      </w:pPr>
      <w:r>
        <w:rPr>
          <w:rFonts w:ascii="黑体" w:hAnsi="黑体" w:eastAsia="黑体"/>
          <w:b w:val="0"/>
          <w:bCs w:val="0"/>
          <w:color w:val="auto"/>
          <w:sz w:val="28"/>
          <w:szCs w:val="28"/>
        </w:rPr>
        <w:br w:type="page" w:clear="all"/>
      </w:r>
      <w:r>
        <w:rPr>
          <w:rFonts w:ascii="黑体" w:hAnsi="黑体" w:eastAsia="黑体"/>
          <w:b w:val="0"/>
          <w:bCs w:val="0"/>
          <w:color w:val="auto"/>
          <w:sz w:val="28"/>
          <w:szCs w:val="28"/>
        </w:rPr>
        <w:t xml:space="preserve">第二节 政府采购合同通用条款</w:t>
      </w:r>
      <w:bookmarkEnd w:id="169"/>
      <w:r/>
      <w:r/>
    </w:p>
    <w:p>
      <w:pPr>
        <w:ind w:firstLine="482"/>
        <w:jc w:val="left"/>
        <w:keepLines w:val="0"/>
        <w:keepNext w:val="0"/>
        <w:pageBreakBefore w:val="0"/>
        <w:spacing w:line="40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rPr>
        <w:t xml:space="preserve">1.</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定义</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1.1合同当事人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（1）采购人（以下称甲方）是指使用财政性资金，通过政府采购方式向供应商购买货物及其相关服务的国家机关、事业单位、团体组织。</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（2）供应商（以下称乙方）是指参加政府采购活动并且中标（成交），向采购人提供合同约定的货物及其相关服务的法人、非法人组织或者自然人。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（3）其他合同主体是指除采购人和供应商以外，依法参与合同缔结或履行，享有权利、承担义务的合同当事人。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1.2本合同下列术语应解释为：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（2）“合同价款”系指根据本合同规定乙方在全面履行合同义务后甲方应支付给乙方的价款。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0"/>
        </w:rPr>
        <w:t xml:space="preserve">其他</w:t>
      </w:r>
      <w:r>
        <w:rPr>
          <w:rFonts w:hint="eastAsia" w:ascii="宋体" w:hAnsi="宋体" w:eastAsia="宋体" w:cs="宋体"/>
          <w:color w:val="auto"/>
          <w:sz w:val="24"/>
          <w:szCs w:val="20"/>
          <w:lang w:val="zh-CN"/>
        </w:rPr>
        <w:t xml:space="preserve">技术资料和材料等。</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（4）“相关服务”系指根据合同规定，乙方应提供的与货物有关的技术、管理和</w:t>
      </w:r>
      <w:r>
        <w:rPr>
          <w:rFonts w:hint="eastAsia" w:ascii="宋体" w:hAnsi="宋体" w:eastAsia="宋体" w:cs="宋体"/>
          <w:color w:val="auto"/>
          <w:sz w:val="24"/>
          <w:szCs w:val="20"/>
        </w:rPr>
        <w:t xml:space="preserve">其他</w:t>
      </w:r>
      <w:r>
        <w:rPr>
          <w:rFonts w:hint="eastAsia" w:ascii="宋体" w:hAnsi="宋体" w:eastAsia="宋体" w:cs="宋体"/>
          <w:color w:val="auto"/>
          <w:sz w:val="24"/>
          <w:szCs w:val="20"/>
          <w:lang w:val="zh-CN"/>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0"/>
        </w:rPr>
        <w:t xml:space="preserve">其他</w:t>
      </w:r>
      <w:r>
        <w:rPr>
          <w:rFonts w:hint="eastAsia" w:ascii="宋体" w:hAnsi="宋体" w:eastAsia="宋体" w:cs="宋体"/>
          <w:color w:val="auto"/>
          <w:sz w:val="24"/>
          <w:szCs w:val="20"/>
          <w:lang w:val="zh-CN"/>
        </w:rPr>
        <w:t xml:space="preserve">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（7）其他术语解释，见</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b w:val="0"/>
          <w:bCs w:val="0"/>
          <w:color w:val="auto"/>
          <w:sz w:val="24"/>
          <w:szCs w:val="20"/>
          <w:lang w:val="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2.</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合同标的及金额</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2.1 合同标的及金额应与中标（成交）结果一致。乙方为履行本合同而发生的所有费用均应包含在合同价款中，甲方不再另行支付其他任何费用。</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3.</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履行合同的时间、地点和方式</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3.1 乙方应当在约定的时间、地点，按照约定方式履行合同。</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4.</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甲方的权利和义务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4.3 甲方有权要求乙方对缺陷部分予以修复，并按合同约定享有货物保修及其他合同约定的权利。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4.4 甲方应当按照合同约定及时对交付的货物进行验收，未在【</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】约定的期限内对乙方履约提出任何异议或者向乙方作出任何说明的，视为验收通过。</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4.5 甲方应当根据合同约定及时向乙方支付合同价款，不得以内部人员变更、履行内部付款流程等为由，拒绝或迟延支付。</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4.6 国家法律法规规定及【</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】约定应由甲方承担的其他义务和责任。</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5.</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乙方的权利和义务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5.1 签署合同后，乙方应确定项目负责人（或项目联系人），负责与本合同有关的事务。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5.3乙方有权根据合同约定向甲方收取合同价款。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5.4国家法律法规规定及【</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】约定应由乙方承担的其他义务和责任。</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6.</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合同履行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6.1 甲乙双方应当按照【</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】约定顺序履行合同义务；如果没有先后顺序的，应当同时履行。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7.</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货物包装、运输、保险和交付要求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7.1 本合同涉及商品包装、快递包装的，除【</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】另有约定外，包装应适应远距离运输、防潮、防震、防锈和防野蛮装卸等要求，确保货物安全无损地运抵【</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约定的指定现场。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7.2 除【</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】另有约定外，乙方负责办理将货物运抵本合同规定的交货地点，并装卸、交付至甲方的一切运输事项，相关费用应包含在合同价款中。</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7.3 货物保险要求按【</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】规定执行。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7.5 乙方在运输到达之前应提前通知甲方，并提示货物运输装卸的注意事项，甲方配合乙方做好货物的接收工作。</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7.6 如因包装、运输问题导致货物损毁、丢失或者品质下降，甲方有权要求降价、换货、拒收部分或整批货物，由此产生的费用和损失，均由乙方承担。</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8.</w:t>
      </w:r>
      <w:r>
        <w:rPr>
          <w:rFonts w:hint="eastAsia" w:ascii="宋体" w:hAnsi="宋体" w:cs="宋体"/>
          <w:b/>
          <w:bCs/>
          <w:color w:val="auto"/>
          <w:sz w:val="24"/>
          <w:szCs w:val="20"/>
          <w:lang w:val="zh-CN"/>
        </w:rPr>
        <w:t xml:space="preserve"> </w:t>
      </w:r>
      <w:r>
        <w:rPr>
          <w:rFonts w:hint="eastAsia" w:ascii="宋体" w:hAnsi="宋体" w:eastAsia="宋体" w:cs="宋体"/>
          <w:b/>
          <w:bCs/>
          <w:color w:val="auto"/>
          <w:sz w:val="24"/>
          <w:szCs w:val="20"/>
          <w:lang w:val="zh-CN"/>
        </w:rPr>
        <w:t xml:space="preserve">质量标准和保证</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8.1 质量标准</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（2）采用中华人民共和国法定计量单位。</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（3）乙方所提供的货物应符合国家有关安全、环保、卫生的规定。</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8.2 保证</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】规定或乙方书面承诺（两者以较长的为准）的质量保证期内，本保证保持有效。</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（2）在质量保证期内所发现的缺陷，甲方应尽快以书面形式通知乙方。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（3）乙方收到通知后，应在【</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】规定的响应时间内以合理的速度免费维修或更换有缺陷的货物或部件。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（5）乙方在约定的时间内未能弥补缺陷，甲方可采取必要的补救措施，但其风险和费用将由乙方承担，甲方根据合同约定对乙方行使的其他权利不受影响。</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9. 权利瑕疵担保</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9.1 乙方保证对其出售的货物享有合法的权利。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9.2 乙方保证在交付的货物上不存在抵押权等担保物权。</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9.3 如甲方使用上述货物构成对第三人侵权的，则由乙方承担全部责任。</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10. 知识产权保护</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10.1 乙方对其所销售的货物应当享有知识产权或经权利人合法授权，保证没有侵犯任何第三人的知识产权等权利。</w:t>
      </w:r>
      <w:bookmarkStart w:id="172" w:name="_Hlk163047038"/>
      <w:r>
        <w:rPr>
          <w:rFonts w:hint="eastAsia" w:ascii="宋体" w:hAnsi="宋体" w:eastAsia="宋体" w:cs="宋体"/>
          <w:color w:val="auto"/>
          <w:sz w:val="24"/>
          <w:szCs w:val="20"/>
          <w:lang w:val="zh-CN"/>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eastAsia="宋体" w:cs="宋体"/>
          <w:color w:val="auto"/>
          <w:sz w:val="24"/>
          <w:szCs w:val="20"/>
          <w:lang w:val="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11. 保密义务</w:t>
      </w:r>
      <w:r/>
    </w:p>
    <w:p>
      <w:pPr>
        <w:ind w:firstLine="482"/>
        <w:jc w:val="left"/>
        <w:keepLines w:val="0"/>
        <w:keepNext w:val="0"/>
        <w:pageBreakBefore w:val="0"/>
        <w:spacing w:line="560" w:lineRule="exact"/>
        <w:widowControl w:val="off"/>
        <w:rPr>
          <w:rFonts w:ascii="宋体" w:hAnsi="宋体" w:cs="宋体"/>
          <w:color w:val="auto"/>
          <w:sz w:val="24"/>
          <w:szCs w:val="20"/>
          <w:lang w:val="zh-CN"/>
        </w:rPr>
      </w:pPr>
      <w:r>
        <w:rPr>
          <w:rFonts w:hint="eastAsia" w:ascii="宋体" w:hAnsi="宋体" w:eastAsia="宋体" w:cs="宋体"/>
          <w:color w:val="auto"/>
          <w:sz w:val="24"/>
          <w:szCs w:val="20"/>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color w:val="auto"/>
          <w:sz w:val="24"/>
          <w:szCs w:val="20"/>
          <w:lang w:val="zh-CN"/>
        </w:rPr>
        <w:t xml:space="preserve">【</w:t>
      </w:r>
      <w:r>
        <w:rPr>
          <w:rFonts w:hint="eastAsia" w:ascii="宋体" w:hAnsi="宋体" w:cs="宋体"/>
          <w:b/>
          <w:bCs/>
          <w:color w:val="auto"/>
          <w:sz w:val="24"/>
          <w:szCs w:val="20"/>
          <w:lang w:val="zh-CN"/>
        </w:rPr>
        <w:t xml:space="preserve">政府采购合同专用条款</w:t>
      </w:r>
      <w:r>
        <w:rPr>
          <w:rFonts w:hint="eastAsia" w:ascii="宋体" w:hAnsi="宋体" w:cs="宋体"/>
          <w:color w:val="auto"/>
          <w:sz w:val="24"/>
          <w:szCs w:val="20"/>
          <w:lang w:val="zh-CN"/>
        </w:rPr>
        <w:t xml:space="preserve">】中约定。</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12. 合同价款支付</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12.1 合同价款支付按照国库集中支付制度及财政管理相关规定执行。</w:t>
      </w:r>
      <w:r/>
    </w:p>
    <w:p>
      <w:pPr>
        <w:ind w:firstLine="482"/>
        <w:jc w:val="left"/>
        <w:keepLines w:val="0"/>
        <w:keepNext w:val="0"/>
        <w:pageBreakBefore w:val="0"/>
        <w:spacing w:line="560" w:lineRule="exact"/>
        <w:widowControl w:val="off"/>
        <w:rPr>
          <w:rFonts w:hint="eastAsia" w:ascii="宋体" w:hAnsi="宋体" w:eastAsia="Arial" w:cs="宋体"/>
          <w:color w:val="auto"/>
          <w:sz w:val="24"/>
          <w:szCs w:val="20"/>
          <w:lang w:val="zh-CN"/>
        </w:rPr>
      </w:pPr>
      <w:r>
        <w:rPr>
          <w:rFonts w:hint="eastAsia" w:ascii="宋体" w:hAnsi="宋体" w:eastAsia="宋体" w:cs="宋体"/>
          <w:color w:val="auto"/>
          <w:sz w:val="24"/>
          <w:szCs w:val="20"/>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Arial" w:cs="宋体"/>
          <w:color w:val="auto"/>
          <w:sz w:val="24"/>
          <w:szCs w:val="20"/>
          <w:lang w:val="zh-CN"/>
        </w:rPr>
        <w:t xml:space="preserve">【</w:t>
      </w:r>
      <w:r>
        <w:rPr>
          <w:rFonts w:hint="eastAsia" w:ascii="宋体" w:hAnsi="宋体" w:eastAsia="Arial" w:cs="宋体"/>
          <w:b/>
          <w:bCs/>
          <w:color w:val="auto"/>
          <w:sz w:val="24"/>
          <w:szCs w:val="20"/>
          <w:lang w:val="zh-CN"/>
        </w:rPr>
        <w:t xml:space="preserve">政府采购合同专用条款</w:t>
      </w:r>
      <w:r>
        <w:rPr>
          <w:rFonts w:hint="eastAsia" w:ascii="宋体" w:hAnsi="宋体" w:eastAsia="Arial" w:cs="宋体"/>
          <w:color w:val="auto"/>
          <w:sz w:val="24"/>
          <w:szCs w:val="20"/>
          <w:lang w:val="zh-CN"/>
        </w:rPr>
        <w:t xml:space="preserve">】中约定。</w:t>
      </w:r>
      <w:r/>
    </w:p>
    <w:p>
      <w:pPr>
        <w:ind w:firstLine="480"/>
        <w:keepLines w:val="0"/>
        <w:keepNext w:val="0"/>
        <w:pageBreakBefore w:val="0"/>
        <w:spacing w:line="520" w:lineRule="exact"/>
        <w:widowControl w:val="off"/>
        <w:rPr>
          <w:rFonts w:hint="eastAsia" w:ascii="宋体" w:hAnsi="宋体" w:eastAsia="Arial" w:cs="宋体"/>
          <w:b/>
          <w:bCs/>
          <w:color w:val="auto"/>
          <w:sz w:val="24"/>
          <w:szCs w:val="20"/>
          <w:lang w:val="zh-CN"/>
        </w:rPr>
      </w:pPr>
      <w:r>
        <w:rPr>
          <w:rFonts w:hint="eastAsia" w:ascii="宋体" w:hAnsi="宋体" w:eastAsia="Arial" w:cs="宋体"/>
          <w:b/>
          <w:bCs/>
          <w:color w:val="auto"/>
          <w:sz w:val="24"/>
          <w:szCs w:val="20"/>
          <w:lang w:val="zh-CN"/>
        </w:rPr>
        <w:t xml:space="preserve">13. 履约保证金</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13.1 乙方应当以支票、汇票、本票或者金融机构、担保机构出具的保函等非现金形式提交。</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13.2 如果乙方出现【</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13.3 甲方在项目通过验收后按照【</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】规定的时间内将履约保证金退还乙方；逾期退还的，乙方可要求甲方支付违约金，违约金按照【</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】规定支付。</w:t>
      </w:r>
      <w:r/>
    </w:p>
    <w:p>
      <w:pPr>
        <w:ind w:firstLine="480"/>
        <w:keepLines w:val="0"/>
        <w:keepNext w:val="0"/>
        <w:pageBreakBefore w:val="0"/>
        <w:spacing w:line="520" w:lineRule="exact"/>
        <w:widowControl w:val="off"/>
        <w:rPr>
          <w:rFonts w:ascii="宋体" w:hAnsi="宋体" w:cs="宋体"/>
          <w:b/>
          <w:bCs/>
          <w:color w:val="auto"/>
          <w:sz w:val="24"/>
          <w:szCs w:val="20"/>
          <w:lang w:val="zh-CN"/>
        </w:rPr>
      </w:pPr>
      <w:r>
        <w:rPr>
          <w:rFonts w:hint="eastAsia" w:ascii="宋体" w:hAnsi="宋体" w:cs="宋体"/>
          <w:b/>
          <w:bCs/>
          <w:color w:val="auto"/>
          <w:sz w:val="24"/>
          <w:szCs w:val="20"/>
          <w:lang w:val="zh-CN"/>
        </w:rPr>
        <w:t xml:space="preserve">14. 售后服务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14.1 除项目不涉及或采购活动中明确约定无须承担外，乙方还应提供下列服务：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（1）货物的现场移动、安装、调试、启动监督及技术支持；</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（2）提供货物组装和维修所需的专用工具和辅助材料；</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（3）在【</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】约定的期限内对所有的货物实施运行监督、维修，但前提条件是该服务并不能免除乙方在质量保证期内所承担的义务；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（4）在制造商所在地或指定现场就货物的安装、启动、运营、维护、废弃处置等对甲方操作人员进行培训；</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（5）依照法律、行政法规的规定或者按照【</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】约定，货物在有效使用年限届满后应予回收的，乙方负有自行或者委托第三人对货物予以回收的义务；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（6）</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】规定由乙方提供的其他服务。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14.2 乙方提供的售后服务的费用已包含在合同价款中，甲方不再另行支付。</w:t>
      </w:r>
      <w:r/>
    </w:p>
    <w:p>
      <w:pPr>
        <w:ind w:firstLine="482"/>
        <w:jc w:val="left"/>
        <w:keepLines w:val="0"/>
        <w:keepNext w:val="0"/>
        <w:pageBreakBefore w:val="0"/>
        <w:spacing w:line="560" w:lineRule="exact"/>
        <w:widowControl w:val="off"/>
        <w:rPr>
          <w:rFonts w:hint="eastAsia" w:ascii="宋体" w:hAnsi="宋体" w:eastAsia="宋体" w:cs="宋体"/>
          <w:b w:val="0"/>
          <w:bCs w:val="0"/>
          <w:color w:val="auto"/>
          <w:sz w:val="24"/>
          <w:szCs w:val="20"/>
          <w:lang w:val="zh-CN"/>
        </w:rPr>
      </w:pPr>
      <w:r>
        <w:rPr>
          <w:rFonts w:hint="eastAsia" w:ascii="宋体" w:hAnsi="宋体" w:eastAsia="宋体" w:cs="宋体"/>
          <w:b w:val="0"/>
          <w:bCs w:val="0"/>
          <w:color w:val="auto"/>
          <w:sz w:val="24"/>
          <w:szCs w:val="20"/>
          <w:lang w:val="zh-CN"/>
        </w:rPr>
        <w:t xml:space="preserve">15. 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15.1质量瑕疵的违约责任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乙方提供的产品不符合合同约定的质量标准或存在产品质量缺陷，甲方有权要求乙方根据【</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】要求及时修理、重作、更换，并承担由此给甲方造成的损失。</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15.2 迟延交货的违约责任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val="0"/>
          <w:bCs w:val="0"/>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】规定执行。如果涉及公共利益，且赔偿金额无法弥补公共利益损失，甲方可要求继续履行或者采取其他补救措施。</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15.3 迟延支付的违约责任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甲方存在迟延支付乙方合同款项的，应当承担【</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】规定的逾期付款利息。</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15.4其他违约责任根据项目实际需要按【</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】规定执行。</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16.合同变更、中止与终止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16.1合同的变更</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政府采购合同履行中，在不改变合同其他条款的前提下，甲方可以在合同价款10%的范围内追加与合同标的相同的货物，并就此与乙方协商一致后签订补充协议。</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16.2合同的中止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（1）合同履行过程中因供应商就采购文件、采购过程或结果提起投诉的，甲方认为有必要的，可以中止合同的履行。</w:t>
      </w:r>
      <w:r/>
    </w:p>
    <w:p>
      <w:pPr>
        <w:ind w:left="0"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（4）甲方不得以行政区划调整、政府换届、机构或者职能调整以及相关责任人更替为由中止合同。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16.3合同的终止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（1）合同因有效期限届满而终止；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（2）乙方未按合同约定履行，构成根本性违约的，甲方有权终止合同，并追究乙方的违约责任。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16.4 涉及国家利益、社会公共利益的情形</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17. 合同分包</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17.1 乙方不得将合同转包给其他供应商。涉及合同分包的，乙方应根据采购文件和投标（响应）文件规定进行合同分包。</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17.2 乙方执行政府采购政策向中小企业依法分包的，乙方应当按采购文件和投标（响应）文件签订分包意向协议，分包意向协议属于本合同组成部分。</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18. 不可抗力</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18.1 不可抗力是指合同双方不能预见、不能避免且不能克服的客观情况。</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18.2 任何一方对由于不可抗力造成的部分或全部不能履行合同不承担违约责任。但迟延履行后发生不可抗力的，不能免除责任。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19. 解决争议的方法</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19.2 选择仲裁的，应在【</w:t>
      </w:r>
      <w:r>
        <w:rPr>
          <w:rFonts w:hint="eastAsia" w:ascii="宋体" w:hAnsi="宋体" w:eastAsia="宋体" w:cs="宋体"/>
          <w:b w:val="0"/>
          <w:bCs w:val="0"/>
          <w:color w:val="auto"/>
          <w:sz w:val="24"/>
          <w:szCs w:val="20"/>
          <w:lang w:val="zh-CN"/>
        </w:rPr>
        <w:t xml:space="preserve">政府采购合同专用条款</w:t>
      </w:r>
      <w:r>
        <w:rPr>
          <w:rFonts w:hint="eastAsia" w:ascii="宋体" w:hAnsi="宋体" w:eastAsia="宋体" w:cs="宋体"/>
          <w:color w:val="auto"/>
          <w:sz w:val="24"/>
          <w:szCs w:val="20"/>
          <w:lang w:val="zh-CN"/>
        </w:rPr>
        <w:t xml:space="preserve">】中明确仲裁机构及仲裁地；通过诉讼方式解决的，可以在【</w:t>
      </w:r>
      <w:r>
        <w:rPr>
          <w:rFonts w:hint="eastAsia" w:ascii="宋体" w:hAnsi="宋体" w:eastAsia="宋体" w:cs="宋体"/>
          <w:b w:val="0"/>
          <w:bCs w:val="0"/>
          <w:color w:val="auto"/>
          <w:sz w:val="24"/>
          <w:szCs w:val="20"/>
          <w:lang w:val="zh-CN"/>
        </w:rPr>
        <w:t xml:space="preserve">政府采购合同专用条款</w:t>
      </w:r>
      <w:r>
        <w:rPr>
          <w:rFonts w:hint="eastAsia" w:ascii="宋体" w:hAnsi="宋体" w:eastAsia="宋体" w:cs="宋体"/>
          <w:color w:val="auto"/>
          <w:sz w:val="24"/>
          <w:szCs w:val="20"/>
          <w:lang w:val="zh-CN"/>
        </w:rPr>
        <w:t xml:space="preserve">】中进一步约定选择与争议有实际联系的地点的人民法院管辖，但管辖法院的约定不得违反级别管辖和专属管辖的规定。</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19.3 如甲乙双方有争议的事项不影响合同其他部分的履行，在争议解决期间，合同其他部分应当继续履行。</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20. 政府采购政策</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20.1 本合同应当按照规定执行政府采购政策。</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21. 法律适用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21.1 本合同的订立、生效、解释、履行及与本合同有关的争议解决，均适用法律、行政法规。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21.2 本合同条款与法律、行政法规的强制性规定不一致的，双方当事人应按照法律、行政法规的强制性规定修改本合同的相关条款。</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22. 通知</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22.1 本合同任何一方向对方发出的通知、信件、数据电文等，应当发送至本合同第一部分《政府采购合同协议书》所约定的通讯地址、联系人、联系电话或电子邮箱。</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22.2 一方当事人变更名称、住所、联系人、联系电话或电子邮箱等信息的，应当在变更后3日内及时书面通知对方，对方实际收到变更通知前的送达仍为有效送达。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22.3本合同一方给另一方的通知均应采用书面形式，传真或快递送到本合同中规定的对方的地址和办理签收手续。</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22.4通知以送达之日或通知书中规定的生效之日起生效，两者中以较迟之日为准。</w:t>
      </w:r>
      <w:r/>
    </w:p>
    <w:p>
      <w:pPr>
        <w:numPr>
          <w:ilvl w:val="0"/>
          <w:numId w:val="4"/>
        </w:numPr>
        <w:ind w:firstLine="482"/>
        <w:jc w:val="left"/>
        <w:keepLines w:val="0"/>
        <w:keepNext w:val="0"/>
        <w:pageBreakBefore w:val="0"/>
        <w:spacing w:line="560" w:lineRule="exact"/>
        <w:widowControl w:val="off"/>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合同未尽事项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23.1合同未尽事项见</w:t>
      </w:r>
      <w:r>
        <w:rPr>
          <w:rFonts w:hint="eastAsia" w:ascii="宋体" w:hAnsi="宋体" w:eastAsia="宋体" w:cs="宋体"/>
          <w:b/>
          <w:bCs/>
          <w:color w:val="auto"/>
          <w:sz w:val="24"/>
          <w:szCs w:val="20"/>
          <w:lang w:val="zh-CN"/>
        </w:rPr>
        <w:t xml:space="preserve">【政府采购合同专用条款】</w:t>
      </w:r>
      <w:r>
        <w:rPr>
          <w:rFonts w:hint="eastAsia" w:ascii="宋体" w:hAnsi="宋体" w:eastAsia="宋体" w:cs="宋体"/>
          <w:color w:val="auto"/>
          <w:sz w:val="24"/>
          <w:szCs w:val="20"/>
          <w:lang w:val="zh-CN"/>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t xml:space="preserve">23.2 合同附件与合同正文具有同等的法律效力。</w:t>
      </w:r>
      <w:r/>
    </w:p>
    <w:p>
      <w:pPr>
        <w:jc w:val="center"/>
        <w:keepLines/>
        <w:keepNext/>
        <w:spacing w:line="360" w:lineRule="auto"/>
        <w:rPr>
          <w:rFonts w:hint="eastAsia" w:ascii="黑体" w:hAnsi="华文中宋" w:eastAsia="黑体"/>
          <w:color w:val="auto"/>
          <w:sz w:val="24"/>
        </w:rPr>
        <w:outlineLvl w:val="1"/>
      </w:pPr>
      <w:r>
        <w:rPr>
          <w:rFonts w:hint="eastAsia" w:ascii="黑体" w:hAnsi="华文中宋" w:eastAsia="黑体"/>
          <w:color w:val="auto"/>
          <w:sz w:val="24"/>
        </w:rPr>
        <w:br w:type="page" w:clear="all"/>
      </w:r>
      <w:r>
        <w:rPr>
          <w:rFonts w:hint="eastAsia" w:ascii="黑体" w:hAnsi="华文中宋" w:eastAsia="黑体"/>
          <w:color w:val="auto"/>
          <w:sz w:val="24"/>
        </w:rPr>
        <w:t xml:space="preserve">第三节 政府采购合同专用条款</w:t>
      </w:r>
      <w:r/>
    </w:p>
    <w:tbl>
      <w:tblPr>
        <w:tblStyle w:val="856"/>
        <w:tblW w:w="86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45"/>
        <w:gridCol w:w="1413"/>
        <w:gridCol w:w="5991"/>
      </w:tblGrid>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第1.2（6）项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联合体具体要求</w:t>
            </w:r>
            <w:r/>
          </w:p>
        </w:tc>
        <w:tc>
          <w:tcPr>
            <w:tcW w:w="5991" w:type="dxa"/>
            <w:vAlign w:val="center"/>
            <w:textDirection w:val="lrTb"/>
            <w:noWrap w:val="false"/>
          </w:tcPr>
          <w:p>
            <w:pPr>
              <w:jc w:val="left"/>
              <w:rPr>
                <w:rFonts w:hint="eastAsia" w:ascii="宋体" w:hAnsi="宋体" w:eastAsiaTheme="minorEastAsia"/>
                <w:color w:val="auto"/>
                <w:sz w:val="24"/>
                <w:lang w:val="en-US" w:eastAsia="zh-CN"/>
              </w:rPr>
            </w:pPr>
            <w:r>
              <w:rPr>
                <w:rFonts w:hint="eastAsia" w:ascii="宋体" w:hAnsi="宋体"/>
                <w:color w:val="auto"/>
                <w:sz w:val="24"/>
                <w:lang w:val="en-US" w:eastAsia="zh-CN"/>
              </w:rPr>
              <w:t xml:space="preserve">/</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第1.2（7）项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其他术语解释</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同合同通用条款</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第4.4款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履约验收中甲方提出异议或作出说明的期限</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十五个工作日内</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第4.6款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约定甲方承担的其他义务和责任</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同合同通用条款</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第5.4款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约定乙方承担的其他义务和责任</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同合同通用条款</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第6.1款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履行合同义务的顺序</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同协议书</w:t>
            </w:r>
            <w:r/>
          </w:p>
        </w:tc>
      </w:tr>
      <w:tr>
        <w:trPr>
          <w:jc w:val="center"/>
          <w:trHeight w:val="0"/>
        </w:trPr>
        <w:tc>
          <w:tcPr>
            <w:tcW w:w="1245" w:type="dxa"/>
            <w:vAlign w:val="center"/>
            <w:vMerge w:val="restart"/>
            <w:textDirection w:val="lrTb"/>
            <w:noWrap w:val="false"/>
          </w:tcPr>
          <w:p>
            <w:pPr>
              <w:jc w:val="center"/>
              <w:rPr>
                <w:rFonts w:ascii="宋体" w:hAnsi="宋体"/>
                <w:color w:val="auto"/>
                <w:sz w:val="24"/>
              </w:rPr>
            </w:pPr>
            <w:r>
              <w:rPr>
                <w:rFonts w:hint="eastAsia" w:ascii="宋体" w:hAnsi="宋体"/>
                <w:color w:val="auto"/>
                <w:sz w:val="24"/>
              </w:rPr>
              <w:t xml:space="preserve">第二节</w:t>
            </w:r>
            <w:r/>
          </w:p>
          <w:p>
            <w:pPr>
              <w:jc w:val="center"/>
              <w:rPr>
                <w:rFonts w:ascii="宋体" w:hAnsi="宋体"/>
                <w:color w:val="auto"/>
                <w:sz w:val="24"/>
              </w:rPr>
            </w:pPr>
            <w:r>
              <w:rPr>
                <w:rFonts w:hint="eastAsia" w:ascii="宋体" w:hAnsi="宋体"/>
                <w:color w:val="auto"/>
                <w:sz w:val="24"/>
              </w:rPr>
              <w:t xml:space="preserve">第7.1款</w:t>
            </w:r>
            <w:r/>
          </w:p>
        </w:tc>
        <w:tc>
          <w:tcPr>
            <w:tcW w:w="1413"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包装特殊要求</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1.商品包装层数不得超过3 层，空隙率不大于40%；</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2.商品包装尽可能使用单一材质的包装材料，如因功能需求必需使用不同材质，不同材质间应便于分离；</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3.商品包装中铅、汞、镉、六价铬的总含量应不大于100mg/kg；</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4.商品包装印刷使用的油墨中挥发性有机化合物(VOCs)含量应不大于5%（以重量计）；</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5.塑料材质商品包装上呈现的印刷颜色不得超过6色；</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6.纸质商品包装应使用75%以上的可再生纤维原料生产；</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7.木质商品包装的原料应来源于可持续性森林。</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9每件包装箱内应附一份详细装箱单和质量合格凭证。</w:t>
            </w:r>
            <w:r/>
          </w:p>
        </w:tc>
      </w:tr>
      <w:tr>
        <w:trPr>
          <w:jc w:val="center"/>
          <w:trHeight w:val="0"/>
        </w:trPr>
        <w:tc>
          <w:tcPr>
            <w:tcW w:w="1245" w:type="dxa"/>
            <w:vAlign w:val="center"/>
            <w:vMerge w:val="continue"/>
            <w:textDirection w:val="lrTb"/>
            <w:noWrap w:val="false"/>
          </w:tcPr>
          <w:p>
            <w:pPr>
              <w:jc w:val="center"/>
              <w:rPr>
                <w:rFonts w:ascii="宋体" w:hAnsi="宋体"/>
                <w:color w:val="auto"/>
                <w:sz w:val="24"/>
              </w:rPr>
            </w:pPr>
            <w:r>
              <w:rPr>
                <w:rFonts w:ascii="宋体" w:hAnsi="宋体"/>
                <w:color w:val="auto"/>
                <w:sz w:val="24"/>
              </w:rPr>
            </w:r>
            <w:r/>
          </w:p>
        </w:tc>
        <w:tc>
          <w:tcPr>
            <w:tcW w:w="1413"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指定现场</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同协议书</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第7.2款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运输特殊要求</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1.货物验收合格、交付使用并提供所需单据的日期视为交货日期。</w:t>
            </w:r>
            <w:r/>
          </w:p>
          <w:p>
            <w:pPr>
              <w:numPr>
                <w:ilvl w:val="0"/>
                <w:numId w:val="0"/>
              </w:numPr>
              <w:ind w:firstLine="482"/>
              <w:spacing w:line="56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2.乙方在货物发运手续办理完毕后24小时内或货到48小时前通知甲方，以准备接货。</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3.乙方装运的货物不应超过合同规定的数量或重量。乙方应对超交数量或超重而产生的一切后果负责。</w:t>
            </w:r>
            <w:r/>
          </w:p>
          <w:p>
            <w:pPr>
              <w:numPr>
                <w:ilvl w:val="0"/>
                <w:numId w:val="0"/>
              </w:numPr>
              <w:ind w:firstLine="482"/>
              <w:spacing w:line="56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4.货物在交付甲方前发生的风险均由乙方负责。</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第7.3款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保险要求</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货物交货前由乙方承担保险义务</w:t>
            </w:r>
            <w:r/>
          </w:p>
        </w:tc>
      </w:tr>
      <w:tr>
        <w:trPr>
          <w:jc w:val="center"/>
          <w:trHeight w:val="1605"/>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第8.2（1）项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质量保证期</w:t>
            </w:r>
            <w:r/>
          </w:p>
        </w:tc>
        <w:tc>
          <w:tcPr>
            <w:tcW w:w="5991" w:type="dxa"/>
            <w:vAlign w:val="center"/>
            <w:textDirection w:val="lrTb"/>
            <w:noWrap w:val="false"/>
          </w:tcPr>
          <w:p>
            <w:pPr>
              <w:numPr>
                <w:ilvl w:val="0"/>
                <w:numId w:val="0"/>
              </w:numPr>
              <w:ind w:firstLine="482"/>
              <w:jc w:val="left"/>
              <w:spacing w:before="120" w:beforeAutospacing="0" w:after="120" w:afterAutospacing="0" w:line="560" w:lineRule="exact"/>
              <w:widowControl/>
              <w:rPr>
                <w:rFonts w:hint="eastAsia" w:ascii="宋体" w:hAnsi="宋体" w:eastAsia="宋体" w:cs="宋体"/>
                <w:color w:val="auto"/>
                <w:sz w:val="24"/>
                <w:szCs w:val="20"/>
              </w:rPr>
            </w:pPr>
            <w:r>
              <w:rPr>
                <w:rFonts w:hint="eastAsia" w:ascii="宋体" w:hAnsi="宋体" w:eastAsia="宋体" w:cs="宋体"/>
                <w:color w:val="0000ff"/>
                <w:sz w:val="24"/>
                <w:szCs w:val="20"/>
              </w:rPr>
              <w:t xml:space="preserve">1.货物免费质保期</w:t>
            </w:r>
            <w:r>
              <w:rPr>
                <w:rFonts w:hint="eastAsia" w:ascii="宋体" w:hAnsi="宋体" w:eastAsia="宋体" w:cs="宋体"/>
                <w:color w:val="0000ff"/>
                <w:sz w:val="24"/>
                <w:szCs w:val="20"/>
                <w:u w:val="single"/>
                <w:lang w:val="en-US" w:eastAsia="zh-CN"/>
              </w:rPr>
              <w:t xml:space="preserve">不少于三</w:t>
            </w:r>
            <w:r>
              <w:rPr>
                <w:rFonts w:hint="eastAsia" w:ascii="宋体" w:hAnsi="宋体" w:eastAsia="宋体" w:cs="宋体"/>
                <w:color w:val="0000ff"/>
                <w:sz w:val="24"/>
                <w:szCs w:val="20"/>
              </w:rPr>
              <w:t xml:space="preserve">年</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具体以投标文件中的承诺为准</w:t>
            </w:r>
            <w:r>
              <w:rPr>
                <w:rFonts w:hint="eastAsia" w:ascii="宋体" w:hAnsi="宋体" w:eastAsia="宋体" w:cs="宋体"/>
                <w:color w:val="auto"/>
                <w:sz w:val="24"/>
                <w:szCs w:val="20"/>
                <w:lang w:eastAsia="zh-CN"/>
              </w:rPr>
              <w:t xml:space="preserve">）</w:t>
            </w:r>
            <w:r>
              <w:rPr>
                <w:rFonts w:hint="eastAsia" w:ascii="宋体" w:hAnsi="宋体" w:eastAsia="宋体" w:cs="宋体"/>
                <w:color w:val="0000ff"/>
                <w:sz w:val="24"/>
                <w:szCs w:val="20"/>
              </w:rPr>
              <w:t xml:space="preserve">。（自交货验收合格之日起计），因人为因素出现的故障不在免费保修范围内。超过保修期的机器设备，终生维修，维修时只收部件成本费。</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第8.2（3）项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货物质量缺陷</w:t>
            </w:r>
            <w:r/>
          </w:p>
          <w:p>
            <w:pPr>
              <w:jc w:val="center"/>
              <w:rPr>
                <w:rFonts w:hint="eastAsia" w:ascii="宋体" w:hAnsi="宋体"/>
                <w:color w:val="auto"/>
                <w:sz w:val="24"/>
              </w:rPr>
            </w:pPr>
            <w:r>
              <w:rPr>
                <w:rFonts w:hint="eastAsia" w:ascii="宋体" w:hAnsi="宋体"/>
                <w:color w:val="auto"/>
                <w:sz w:val="24"/>
              </w:rPr>
              <w:t xml:space="preserve">响应时间</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如在使用过程中发生质量问题，乙方在接到甲方通知后在</w:t>
            </w:r>
            <w:r>
              <w:rPr>
                <w:rFonts w:hint="eastAsia" w:ascii="宋体" w:hAnsi="宋体" w:eastAsia="宋体" w:cs="宋体"/>
                <w:color w:val="auto"/>
                <w:sz w:val="24"/>
                <w:szCs w:val="20"/>
                <w:u w:val="none"/>
              </w:rPr>
              <w:t xml:space="preserve">8</w:t>
            </w:r>
            <w:r>
              <w:rPr>
                <w:rFonts w:hint="eastAsia" w:ascii="宋体" w:hAnsi="宋体" w:eastAsia="宋体" w:cs="宋体"/>
                <w:color w:val="auto"/>
                <w:sz w:val="24"/>
                <w:szCs w:val="20"/>
              </w:rPr>
              <w:t xml:space="preserve">小时内到达甲方现场。</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第8款补充</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质量保证要求</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rPr>
              <w:t xml:space="preserve">1. 在质保期内，乙方应对货物出现的质量及安全问题负责处理解决并承担一切费用</w:t>
            </w:r>
            <w:r>
              <w:rPr>
                <w:rFonts w:hint="eastAsia" w:ascii="宋体" w:hAnsi="宋体" w:eastAsia="宋体" w:cs="宋体"/>
                <w:color w:val="auto"/>
                <w:sz w:val="24"/>
                <w:szCs w:val="20"/>
                <w:highlight w:val="none"/>
              </w:rPr>
              <w:t xml:space="preserve">（因甲方不当使用的除外）。</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2.乙方应按照国家有关法律法规规章和“三包”规定以及招标文件售后服务要求及投标文件售后服务承诺提供售后服务。</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3.所有货物保修服务方式均为乙方上门保修，由乙方派员到货物使用现场维修，所产生的一切费用由乙方承担。</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0"/>
        </w:trPr>
        <w:tc>
          <w:tcPr>
            <w:tcW w:w="1245" w:type="dxa"/>
            <w:vAlign w:val="center"/>
            <w:textDirection w:val="lrTb"/>
            <w:noWrap w:val="false"/>
          </w:tcPr>
          <w:p>
            <w:pPr>
              <w:jc w:val="center"/>
              <w:rPr>
                <w:rFonts w:hint="eastAsia" w:ascii="宋体" w:hAnsi="宋体" w:cstheme="minorBidi"/>
                <w:color w:val="auto"/>
                <w:sz w:val="24"/>
              </w:rPr>
            </w:pPr>
            <w:r>
              <w:rPr>
                <w:rFonts w:hint="eastAsia" w:ascii="宋体" w:hAnsi="宋体" w:cstheme="minorBidi"/>
                <w:color w:val="auto"/>
                <w:sz w:val="24"/>
              </w:rPr>
              <w:t xml:space="preserve">第二节</w:t>
            </w:r>
            <w:r/>
          </w:p>
          <w:p>
            <w:pPr>
              <w:jc w:val="center"/>
              <w:spacing w:line="240" w:lineRule="auto"/>
              <w:widowControl/>
              <w:rPr>
                <w:rFonts w:hint="eastAsia" w:ascii="宋体" w:hAnsi="宋体" w:eastAsiaTheme="minorEastAsia" w:cstheme="minorBidi"/>
                <w:color w:val="auto"/>
                <w:sz w:val="24"/>
              </w:rPr>
            </w:pPr>
            <w:r>
              <w:rPr>
                <w:rFonts w:hint="eastAsia" w:ascii="宋体" w:hAnsi="宋体" w:cstheme="minorBidi"/>
                <w:color w:val="auto"/>
                <w:sz w:val="24"/>
              </w:rPr>
              <w:t xml:space="preserve">第11.1款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其他应当保密的信息</w:t>
            </w:r>
            <w:r/>
          </w:p>
        </w:tc>
        <w:tc>
          <w:tcPr>
            <w:tcW w:w="5991" w:type="dxa"/>
            <w:vAlign w:val="center"/>
            <w:textDirection w:val="lrTb"/>
            <w:noWrap w:val="false"/>
          </w:tcPr>
          <w:p>
            <w:pPr>
              <w:jc w:val="left"/>
              <w:rPr>
                <w:rFonts w:hint="eastAsia" w:ascii="宋体" w:hAnsi="宋体" w:eastAsiaTheme="minorEastAsia"/>
                <w:color w:val="auto"/>
                <w:sz w:val="24"/>
                <w:lang w:val="en-US" w:eastAsia="zh-CN"/>
              </w:rPr>
            </w:pPr>
            <w:r>
              <w:rPr>
                <w:rFonts w:hint="eastAsia" w:ascii="宋体" w:hAnsi="宋体"/>
                <w:color w:val="auto"/>
                <w:sz w:val="24"/>
                <w:lang w:val="en-US" w:eastAsia="zh-CN"/>
              </w:rPr>
              <w:t xml:space="preserve">/</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第12.2款</w:t>
            </w:r>
            <w:r/>
          </w:p>
        </w:tc>
        <w:tc>
          <w:tcPr>
            <w:tcW w:w="141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rPr>
              <w:t xml:space="preserve">合同价款支付时</w:t>
            </w:r>
            <w:r>
              <w:rPr>
                <w:rFonts w:hint="eastAsia" w:ascii="宋体" w:hAnsi="宋体"/>
                <w:color w:val="auto"/>
                <w:sz w:val="24"/>
                <w:highlight w:val="none"/>
              </w:rPr>
              <w:t xml:space="preserve">间及要求</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rPr>
              <w:t xml:space="preserve">1.合同款</w:t>
            </w:r>
            <w:r>
              <w:rPr>
                <w:rFonts w:hint="eastAsia" w:ascii="宋体" w:hAnsi="宋体" w:eastAsia="宋体" w:cs="宋体"/>
                <w:color w:val="auto"/>
                <w:sz w:val="24"/>
                <w:szCs w:val="20"/>
                <w:highlight w:val="none"/>
              </w:rPr>
              <w:t xml:space="preserve">项的支付方式及进度安排：</w:t>
            </w:r>
            <w:r/>
          </w:p>
          <w:p>
            <w:pPr>
              <w:numPr>
                <w:ilvl w:val="0"/>
                <w:numId w:val="5"/>
              </w:numPr>
              <w:ind w:left="0" w:firstLine="480"/>
              <w:jc w:val="left"/>
              <w:spacing w:line="560" w:lineRule="exact"/>
              <w:widowControl/>
              <w:rPr>
                <w:rFonts w:hint="eastAsia" w:ascii="宋体" w:hAnsi="宋体" w:eastAsia="宋体" w:cs="宋体"/>
                <w:color w:val="0000ff"/>
                <w:sz w:val="24"/>
                <w:szCs w:val="20"/>
                <w:u w:val="single"/>
              </w:rPr>
            </w:pPr>
            <w:r>
              <w:rPr>
                <w:rFonts w:hint="eastAsia" w:ascii="宋体" w:hAnsi="宋体" w:eastAsia="宋体" w:cs="宋体"/>
                <w:color w:val="0000ff"/>
                <w:sz w:val="24"/>
                <w:szCs w:val="20"/>
                <w:u w:val="single"/>
              </w:rPr>
              <w:t xml:space="preserve">预付款：合同签订生效并收到合规发票后10个工作日内，支付合同总价的30%；</w:t>
            </w:r>
            <w:r/>
          </w:p>
          <w:p>
            <w:pPr>
              <w:numPr>
                <w:ilvl w:val="0"/>
                <w:numId w:val="5"/>
              </w:numPr>
              <w:ind w:left="0" w:firstLine="480"/>
              <w:jc w:val="left"/>
              <w:spacing w:line="560" w:lineRule="exact"/>
              <w:widowControl/>
              <w:rPr>
                <w:rFonts w:hint="eastAsia" w:ascii="宋体" w:hAnsi="宋体" w:eastAsia="宋体" w:cs="宋体"/>
                <w:color w:val="0000ff"/>
                <w:sz w:val="24"/>
                <w:szCs w:val="20"/>
                <w:u w:val="single"/>
              </w:rPr>
            </w:pPr>
            <w:r>
              <w:rPr>
                <w:rFonts w:hint="eastAsia" w:ascii="宋体" w:hAnsi="宋体" w:eastAsia="宋体" w:cs="宋体"/>
                <w:color w:val="0000ff"/>
                <w:sz w:val="24"/>
                <w:szCs w:val="20"/>
                <w:u w:val="single"/>
              </w:rPr>
              <w:t xml:space="preserve">进度款：货物安装调试完毕并初步验收合格后，收到合规发票后 10个工作日内，支付至合同总价的70%；</w:t>
            </w:r>
            <w:r/>
          </w:p>
          <w:p>
            <w:pPr>
              <w:numPr>
                <w:ilvl w:val="0"/>
                <w:numId w:val="5"/>
              </w:numPr>
              <w:ind w:left="0" w:firstLine="480"/>
              <w:jc w:val="left"/>
              <w:spacing w:line="560" w:lineRule="exact"/>
              <w:widowControl/>
              <w:rPr>
                <w:rFonts w:hint="eastAsia" w:ascii="宋体" w:hAnsi="宋体" w:eastAsia="宋体" w:cs="宋体"/>
                <w:color w:val="0000ff"/>
                <w:sz w:val="24"/>
                <w:szCs w:val="20"/>
                <w:u w:val="single"/>
              </w:rPr>
            </w:pPr>
            <w:r>
              <w:rPr>
                <w:rFonts w:hint="eastAsia" w:ascii="宋体" w:hAnsi="宋体" w:eastAsia="宋体" w:cs="宋体"/>
                <w:color w:val="0000ff"/>
                <w:sz w:val="24"/>
                <w:szCs w:val="20"/>
                <w:u w:val="single"/>
                <w:lang w:eastAsia="zh-CN"/>
              </w:rPr>
              <w:t xml:space="preserve">尾款</w:t>
            </w:r>
            <w:r>
              <w:rPr>
                <w:rFonts w:hint="eastAsia" w:ascii="宋体" w:hAnsi="宋体" w:eastAsia="宋体" w:cs="宋体"/>
                <w:color w:val="0000ff"/>
                <w:sz w:val="24"/>
                <w:szCs w:val="20"/>
                <w:u w:val="single"/>
              </w:rPr>
              <w:t xml:space="preserve">：初步验收合格且项目</w:t>
            </w:r>
            <w:r>
              <w:rPr>
                <w:rFonts w:hint="eastAsia" w:ascii="宋体" w:hAnsi="宋体" w:eastAsia="宋体" w:cs="宋体"/>
                <w:color w:val="0000ff"/>
                <w:sz w:val="24"/>
                <w:szCs w:val="20"/>
                <w:u w:val="single"/>
                <w:lang w:eastAsia="zh-CN"/>
              </w:rPr>
              <w:t xml:space="preserve">稳定运行满6个月</w:t>
            </w:r>
            <w:r>
              <w:rPr>
                <w:rFonts w:hint="eastAsia" w:ascii="宋体" w:hAnsi="宋体" w:eastAsia="宋体" w:cs="宋体"/>
                <w:color w:val="0000ff"/>
                <w:sz w:val="24"/>
                <w:szCs w:val="20"/>
                <w:u w:val="single"/>
              </w:rPr>
              <w:t xml:space="preserve">并完成最终验收后，收到合规发票后 10个工作日内结清余款。</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 发票；</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 制造厂家出具的质量检验证书等；</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 装箱单；</w:t>
            </w:r>
            <w:r/>
          </w:p>
          <w:p>
            <w:pPr>
              <w:numPr>
                <w:ilvl w:val="0"/>
                <w:numId w:val="0"/>
              </w:numPr>
              <w:ind w:firstLine="482"/>
              <w:jc w:val="left"/>
              <w:spacing w:line="560" w:lineRule="exact"/>
              <w:widowControl/>
              <w:rPr>
                <w:color w:val="auto"/>
                <w:sz w:val="24"/>
              </w:rPr>
            </w:pPr>
            <w:r>
              <w:rPr>
                <w:rFonts w:hint="eastAsia" w:ascii="宋体" w:hAnsi="宋体" w:eastAsia="宋体" w:cs="宋体"/>
                <w:color w:val="auto"/>
                <w:sz w:val="24"/>
                <w:szCs w:val="20"/>
              </w:rPr>
              <w:t xml:space="preserve">(4) 甲方加盖公章证明交付使用合格的验收单。</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第13.2款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履约保证金不予退还的情形</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除不可抗力情况外，投标人出现下列情形之一的，其履约保证金，招标人将视情节决定不予退还或部分不予退还。</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（1）中标人无正当理由拒绝签订合同的，或者在签订合同时向采购人提出附加条件或者更改合同实质性内容要求的；</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（2）中标人不履行与采购人订立的合同的；</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（3）中标人所供货物或服务不符合招标文件规定要求的；</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（4）中标人采取欺骗、弄虚作假方式投标的或与其它投标人串通投标的；</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（5）中标人将合同内容转包、违法分包的；</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（6）中标人故意捏造事实或伪造证明材料，进行虚假恶意投诉或反映的。</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第13.3款</w:t>
            </w:r>
            <w:r/>
          </w:p>
        </w:tc>
        <w:tc>
          <w:tcPr>
            <w:tcW w:w="1413" w:type="dxa"/>
            <w:vAlign w:val="center"/>
            <w:textDirection w:val="lrTb"/>
            <w:noWrap w:val="false"/>
          </w:tcPr>
          <w:p>
            <w:pPr>
              <w:jc w:val="center"/>
              <w:rPr>
                <w:rFonts w:hint="eastAsia" w:ascii="宋体" w:hAnsi="宋体" w:cstheme="minorBidi"/>
                <w:color w:val="auto"/>
                <w:sz w:val="24"/>
              </w:rPr>
            </w:pPr>
            <w:r>
              <w:rPr>
                <w:rFonts w:hint="eastAsia" w:ascii="宋体" w:hAnsi="宋体" w:cstheme="minorBidi"/>
                <w:color w:val="auto"/>
                <w:sz w:val="24"/>
              </w:rPr>
              <w:t xml:space="preserve">履约保证金退还时间及逾期退还的违约金</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1、合同履行结束后，甲方应及时退还交纳的履约保证金。</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2、退还方式：无息退还至投标人缴纳履约保证金的账户。如为保函，在到期时自行失效。</w:t>
            </w:r>
            <w:r/>
          </w:p>
          <w:p>
            <w:pPr>
              <w:numPr>
                <w:ilvl w:val="0"/>
                <w:numId w:val="0"/>
              </w:num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rPr>
              <w:t xml:space="preserve">3、退还时间：</w:t>
            </w:r>
            <w:r>
              <w:rPr>
                <w:rFonts w:hint="eastAsia" w:ascii="宋体" w:hAnsi="宋体" w:eastAsia="宋体" w:cs="宋体"/>
                <w:color w:val="auto"/>
                <w:sz w:val="24"/>
                <w:szCs w:val="20"/>
                <w:highlight w:val="none"/>
              </w:rPr>
              <w:t xml:space="preserve">验收合格且甲方收到发票后30日内。</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4、退还条件：按合同要求全部履约完成并经采购人验收合格，且采购人收到中标人出具的发票。</w:t>
            </w:r>
            <w:r/>
          </w:p>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第14.1（3）项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运行监督、维修期限</w:t>
            </w:r>
            <w:r/>
          </w:p>
        </w:tc>
        <w:tc>
          <w:tcPr>
            <w:tcW w:w="5991" w:type="dxa"/>
            <w:vAlign w:val="center"/>
            <w:textDirection w:val="lrTb"/>
            <w:noWrap w:val="false"/>
          </w:tcPr>
          <w:p>
            <w:pPr>
              <w:numPr>
                <w:ilvl w:val="0"/>
                <w:numId w:val="0"/>
              </w:num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上述的货物免费保修期为</w:t>
            </w:r>
            <w:r>
              <w:rPr>
                <w:rFonts w:hint="eastAsia" w:ascii="宋体" w:hAnsi="宋体" w:eastAsia="宋体" w:cs="宋体"/>
                <w:sz w:val="24"/>
                <w:szCs w:val="20"/>
                <w:u w:val="single"/>
                <w:lang w:val="en-US" w:eastAsia="zh-CN"/>
              </w:rPr>
              <w:t xml:space="preserve"> 不少于三 </w:t>
            </w:r>
            <w:r>
              <w:rPr>
                <w:rFonts w:hint="eastAsia" w:ascii="宋体" w:hAnsi="宋体" w:eastAsia="宋体" w:cs="宋体"/>
                <w:color w:val="auto"/>
                <w:sz w:val="24"/>
                <w:szCs w:val="20"/>
              </w:rPr>
              <w:t xml:space="preserve">年</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具体以投标文件中的承诺为准</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，在质保期内，乙方应对货物出现的质量及安全问题负责处理解决并承担一切费用。</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第14.1（5）项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货物回收的约定</w:t>
            </w:r>
            <w:r/>
          </w:p>
        </w:tc>
        <w:tc>
          <w:tcPr>
            <w:tcW w:w="5991" w:type="dxa"/>
            <w:vAlign w:val="center"/>
            <w:textDirection w:val="lrTb"/>
            <w:noWrap w:val="false"/>
          </w:tcPr>
          <w:p>
            <w:pPr>
              <w:jc w:val="left"/>
              <w:rPr>
                <w:rFonts w:hint="eastAsia" w:ascii="宋体" w:hAnsi="宋体" w:eastAsiaTheme="minorEastAsia"/>
                <w:color w:val="auto"/>
                <w:sz w:val="24"/>
                <w:lang w:val="en-US" w:eastAsia="zh-CN"/>
              </w:rPr>
            </w:pPr>
            <w:r>
              <w:rPr>
                <w:rFonts w:hint="eastAsia" w:ascii="宋体" w:hAnsi="宋体"/>
                <w:color w:val="auto"/>
                <w:sz w:val="24"/>
                <w:lang w:val="en-US" w:eastAsia="zh-CN"/>
              </w:rPr>
              <w:t xml:space="preserve">/</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第14.1（6）项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乙方提供的其他服务</w:t>
            </w:r>
            <w:r/>
          </w:p>
        </w:tc>
        <w:tc>
          <w:tcPr>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超过保修期的货物，终生维修，维修时只收部件成本费。</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第15.1款</w:t>
            </w:r>
            <w:r/>
          </w:p>
        </w:tc>
        <w:tc>
          <w:tcPr>
            <w:tcW w:w="141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修理、重作、更换相关具体规定</w:t>
            </w:r>
            <w:r/>
          </w:p>
        </w:tc>
        <w:tc>
          <w:tcPr>
            <w:tcW w:w="5991" w:type="dxa"/>
            <w:vAlign w:val="center"/>
            <w:textDirection w:val="lrTb"/>
            <w:noWrap w:val="false"/>
          </w:tcPr>
          <w:p>
            <w:pPr>
              <w:numPr>
                <w:ilvl w:val="-1"/>
                <w:numId w:val="0"/>
              </w:num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详见合同通用条款8.2条款、合同专用条款第二节第8款补充条款及合同专用条款中索赔条款。</w:t>
            </w:r>
            <w:r/>
          </w:p>
          <w:p>
            <w:pPr>
              <w:numPr>
                <w:ilvl w:val="-1"/>
                <w:numId w:val="0"/>
              </w:num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第15.2（2）项</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迟延交货赔偿费</w:t>
            </w:r>
            <w:r/>
          </w:p>
        </w:tc>
        <w:tc>
          <w:tcPr>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1.乙方应按照“开标（报价）一览表”中规定的交货期或承诺交货和提供服务，并交付甲方验收使用。</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2.如果乙方无正当理由拖延交货，将受到以下制裁：加收误期赔偿或终止合同。</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 乙方逾期交付货物的，乙方应按逾期交货总额每日</w:t>
            </w:r>
            <w:r>
              <w:rPr>
                <w:rFonts w:hint="eastAsia" w:ascii="宋体" w:hAnsi="宋体" w:eastAsia="宋体" w:cs="宋体"/>
                <w:color w:val="auto"/>
                <w:sz w:val="24"/>
                <w:szCs w:val="20"/>
                <w:highlight w:val="none"/>
                <w:u w:val="single"/>
              </w:rPr>
              <w:t xml:space="preserve">6‰ </w:t>
            </w:r>
            <w:r>
              <w:rPr>
                <w:rFonts w:hint="eastAsia" w:ascii="宋体" w:hAnsi="宋体" w:eastAsia="宋体" w:cs="宋体"/>
                <w:color w:val="auto"/>
                <w:sz w:val="24"/>
                <w:szCs w:val="20"/>
                <w:highlight w:val="none"/>
              </w:rPr>
              <w:t xml:space="preserve">向甲方支付违约金，由甲方从待付货款中扣除。逾期超过约定日期</w:t>
            </w:r>
            <w:r>
              <w:rPr>
                <w:rFonts w:hint="eastAsia" w:ascii="宋体" w:hAnsi="宋体" w:eastAsia="宋体" w:cs="宋体"/>
                <w:color w:val="auto"/>
                <w:sz w:val="24"/>
                <w:szCs w:val="20"/>
                <w:highlight w:val="none"/>
                <w:u w:val="none"/>
              </w:rPr>
              <w:t xml:space="preserve"> 10 </w:t>
            </w:r>
            <w:r>
              <w:rPr>
                <w:rFonts w:hint="eastAsia" w:ascii="宋体" w:hAnsi="宋体" w:eastAsia="宋体" w:cs="宋体"/>
                <w:color w:val="auto"/>
                <w:sz w:val="24"/>
                <w:szCs w:val="20"/>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0"/>
                <w:highlight w:val="none"/>
                <w:u w:val="single"/>
              </w:rPr>
              <w:t xml:space="preserve">5% </w:t>
            </w:r>
            <w:r>
              <w:rPr>
                <w:rFonts w:hint="eastAsia" w:ascii="宋体" w:hAnsi="宋体" w:eastAsia="宋体" w:cs="宋体"/>
                <w:color w:val="auto"/>
                <w:sz w:val="24"/>
                <w:szCs w:val="20"/>
                <w:highlight w:val="none"/>
              </w:rPr>
              <w:t xml:space="preserve">的违约金，如造成甲方损失超过违约金的，超出部分由乙方继续承担赔偿责任。 </w:t>
            </w:r>
            <w:r/>
          </w:p>
          <w:p>
            <w:pPr>
              <w:ind w:firstLine="482"/>
              <w:jc w:val="left"/>
              <w:spacing w:line="560" w:lineRule="exact"/>
              <w:widowControl/>
              <w:rPr>
                <w:rFonts w:ascii="宋体" w:hAnsi="宋体"/>
                <w:color w:val="auto"/>
                <w:sz w:val="24"/>
                <w:highlight w:val="white"/>
                <w:u w:val="single"/>
              </w:rPr>
            </w:pPr>
            <w:r>
              <w:rPr>
                <w:rFonts w:hint="eastAsia" w:ascii="宋体" w:hAnsi="宋体" w:eastAsia="宋体" w:cs="宋体"/>
                <w:color w:val="auto"/>
                <w:sz w:val="24"/>
                <w:szCs w:val="20"/>
                <w:highlight w:val="none"/>
              </w:rPr>
              <w:t xml:space="preserve">4.如乙方不能交付货物，或者有违法转包他人情形，乙方应向甲方支付合同总价</w:t>
            </w:r>
            <w:r>
              <w:rPr>
                <w:rFonts w:hint="eastAsia" w:ascii="宋体" w:hAnsi="宋体" w:eastAsia="宋体" w:cs="宋体"/>
                <w:color w:val="auto"/>
                <w:sz w:val="24"/>
                <w:szCs w:val="20"/>
                <w:highlight w:val="none"/>
                <w:u w:val="single"/>
              </w:rPr>
              <w:t xml:space="preserve"> 5% </w:t>
            </w:r>
            <w:r>
              <w:rPr>
                <w:rFonts w:hint="eastAsia" w:ascii="宋体" w:hAnsi="宋体" w:eastAsia="宋体" w:cs="宋体"/>
                <w:color w:val="auto"/>
                <w:sz w:val="24"/>
                <w:szCs w:val="20"/>
                <w:highlight w:val="none"/>
              </w:rPr>
              <w:t xml:space="preserve">的滞纳金。</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第15.3款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逾期付款利息</w:t>
            </w:r>
            <w:r/>
          </w:p>
        </w:tc>
        <w:tc>
          <w:tcPr>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1.甲方无正当理由拒收货物的，甲方向乙方偿付拒收货款总值5%的违约金。</w:t>
            </w:r>
            <w:r/>
          </w:p>
          <w:p>
            <w:pPr>
              <w:ind w:firstLine="482"/>
              <w:jc w:val="left"/>
              <w:spacing w:line="560" w:lineRule="exact"/>
              <w:widowControl/>
              <w:rPr>
                <w:rFonts w:hint="eastAsia" w:ascii="宋体" w:hAnsi="宋体" w:eastAsia="宋体" w:cs="宋体"/>
                <w:color w:val="auto"/>
                <w:sz w:val="24"/>
                <w:szCs w:val="20"/>
                <w:highlight w:val="white"/>
                <w:u w:val="none"/>
              </w:rPr>
            </w:pPr>
            <w:r>
              <w:rPr>
                <w:rFonts w:hint="eastAsia" w:ascii="宋体" w:hAnsi="宋体" w:eastAsia="宋体" w:cs="宋体"/>
                <w:color w:val="auto"/>
                <w:sz w:val="24"/>
                <w:szCs w:val="20"/>
                <w:highlight w:val="none"/>
              </w:rPr>
              <w:t xml:space="preserve">2.甲方无故逾期验收和办理货款支付手续的,甲方应按逾期付款总额每日5‰向乙方支付违约金。</w:t>
            </w:r>
            <w:r/>
          </w:p>
        </w:tc>
      </w:tr>
      <w:tr>
        <w:trPr>
          <w:jc w:val="center"/>
          <w:trHeight w:val="0"/>
        </w:trPr>
        <w:tc>
          <w:tcPr>
            <w:tcBorders>
              <w:bottom w:val="single" w:color="000000" w:sz="2" w:space="0"/>
              <w:right w:val="single" w:color="000000" w:sz="2" w:space="0"/>
            </w:tcBorders>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第15.4款</w:t>
            </w:r>
            <w:r/>
          </w:p>
        </w:tc>
        <w:tc>
          <w:tcPr>
            <w:tcBorders>
              <w:left w:val="single" w:color="000000" w:sz="2" w:space="0"/>
              <w:bottom w:val="single" w:color="000000" w:sz="2" w:space="0"/>
              <w:right w:val="single" w:color="000000" w:sz="2" w:space="0"/>
            </w:tcBorders>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其他违约责任</w:t>
            </w:r>
            <w:r/>
          </w:p>
        </w:tc>
        <w:tc>
          <w:tcPr>
            <w:tcBorders>
              <w:left w:val="single" w:color="000000" w:sz="2" w:space="0"/>
              <w:bottom w:val="single" w:color="000000" w:sz="2" w:space="0"/>
            </w:tcBorders>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u w:val="none"/>
              </w:rPr>
            </w:pPr>
            <w:r>
              <w:rPr>
                <w:rFonts w:hint="eastAsia" w:ascii="宋体" w:hAnsi="宋体" w:eastAsia="宋体" w:cs="宋体"/>
                <w:color w:val="auto"/>
                <w:sz w:val="24"/>
                <w:szCs w:val="20"/>
                <w:highlight w:val="none"/>
              </w:rPr>
              <w:t xml:space="preserve">乙方交付合同标的的标准不符合合同规定及招标文件规定标准的，甲方有权拒绝接受合同标的，并可单方面解除合同。</w:t>
            </w:r>
            <w:r/>
          </w:p>
        </w:tc>
      </w:tr>
      <w:tr>
        <w:trPr>
          <w:jc w:val="center"/>
          <w:trHeight w:val="0"/>
        </w:trPr>
        <w:tc>
          <w:tcPr>
            <w:tcBorders>
              <w:top w:val="single" w:color="000000" w:sz="2" w:space="0"/>
              <w:right w:val="single" w:color="000000" w:sz="2" w:space="0"/>
            </w:tcBorders>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第19.2款</w:t>
            </w:r>
            <w:r/>
          </w:p>
        </w:tc>
        <w:tc>
          <w:tcPr>
            <w:tcBorders>
              <w:top w:val="single" w:color="000000" w:sz="2" w:space="0"/>
              <w:left w:val="single" w:color="000000" w:sz="2" w:space="0"/>
              <w:right w:val="single" w:color="000000" w:sz="2" w:space="0"/>
            </w:tcBorders>
            <w:tcW w:w="141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解决争议的方法</w:t>
            </w:r>
            <w:r/>
          </w:p>
        </w:tc>
        <w:tc>
          <w:tcPr>
            <w:tcBorders>
              <w:top w:val="single" w:color="000000" w:sz="2" w:space="0"/>
              <w:left w:val="single" w:color="000000" w:sz="2" w:space="0"/>
            </w:tcBorders>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1.因本合同及合同有关事项发生的争议，由双方协商解决，协商不成时，按下列第</w:t>
            </w:r>
            <w:r>
              <w:rPr>
                <w:rFonts w:hint="eastAsia" w:ascii="宋体" w:hAnsi="宋体" w:eastAsia="宋体" w:cs="宋体"/>
                <w:color w:val="auto"/>
                <w:sz w:val="24"/>
                <w:szCs w:val="20"/>
                <w:highlight w:val="none"/>
                <w:u w:val="single"/>
              </w:rPr>
              <w:t xml:space="preserve"> 2 </w:t>
            </w:r>
            <w:r>
              <w:rPr>
                <w:rFonts w:hint="eastAsia" w:ascii="宋体" w:hAnsi="宋体" w:eastAsia="宋体" w:cs="宋体"/>
                <w:color w:val="auto"/>
                <w:sz w:val="24"/>
                <w:szCs w:val="20"/>
                <w:highlight w:val="none"/>
              </w:rPr>
              <w:t xml:space="preserve">种方式解决：</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（1）向仲裁委员会申请仲裁，仲裁地点为</w:t>
            </w:r>
            <w:r>
              <w:rPr>
                <w:rFonts w:hint="eastAsia" w:ascii="宋体" w:hAnsi="宋体" w:eastAsia="宋体" w:cs="宋体"/>
                <w:color w:val="auto"/>
                <w:sz w:val="24"/>
                <w:szCs w:val="20"/>
                <w:highlight w:val="none"/>
                <w:u w:val="single"/>
              </w:rPr>
              <w:t xml:space="preserve">盐城市</w:t>
            </w:r>
            <w:r>
              <w:rPr>
                <w:rFonts w:hint="eastAsia" w:ascii="宋体" w:hAnsi="宋体" w:eastAsia="宋体" w:cs="宋体"/>
                <w:color w:val="auto"/>
                <w:sz w:val="24"/>
                <w:szCs w:val="20"/>
                <w:highlight w:val="none"/>
              </w:rPr>
              <w:t xml:space="preserve">；</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（2）向甲方所在地人民法院起诉。</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 纠纷解决办法</w:t>
            </w:r>
            <w:r/>
          </w:p>
          <w:p>
            <w:pPr>
              <w:ind w:firstLine="482"/>
              <w:jc w:val="left"/>
              <w:spacing w:line="560" w:lineRule="exact"/>
              <w:widowControl/>
              <w:rPr>
                <w:rFonts w:ascii="宋体" w:hAnsi="宋体"/>
                <w:color w:val="auto"/>
                <w:sz w:val="24"/>
                <w:highlight w:val="white"/>
              </w:rPr>
            </w:pPr>
            <w:r>
              <w:rPr>
                <w:rFonts w:hint="eastAsia" w:ascii="宋体" w:hAnsi="宋体" w:eastAsia="宋体" w:cs="宋体"/>
                <w:color w:val="auto"/>
                <w:sz w:val="24"/>
                <w:szCs w:val="20"/>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0"/>
        </w:trPr>
        <w:tc>
          <w:tcPr>
            <w:tcW w:w="124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第二节</w:t>
            </w:r>
            <w:r/>
          </w:p>
          <w:p>
            <w:pPr>
              <w:jc w:val="center"/>
              <w:rPr>
                <w:rFonts w:hint="eastAsia" w:ascii="宋体" w:hAnsi="宋体"/>
                <w:color w:val="auto"/>
                <w:sz w:val="24"/>
              </w:rPr>
            </w:pPr>
            <w:r>
              <w:rPr>
                <w:rFonts w:hint="eastAsia" w:ascii="宋体" w:hAnsi="宋体"/>
                <w:color w:val="auto"/>
                <w:sz w:val="24"/>
              </w:rPr>
              <w:t xml:space="preserve">第23.1款</w:t>
            </w:r>
            <w:r/>
          </w:p>
        </w:tc>
        <w:tc>
          <w:tcPr>
            <w:tcW w:w="1413" w:type="dxa"/>
            <w:vAlign w:val="center"/>
            <w:textDirection w:val="lrTb"/>
            <w:noWrap w:val="false"/>
          </w:tcPr>
          <w:p>
            <w:pPr>
              <w:jc w:val="center"/>
              <w:rPr>
                <w:rFonts w:hint="eastAsia" w:ascii="宋体" w:hAnsi="宋体"/>
                <w:color w:val="auto"/>
                <w:sz w:val="24"/>
              </w:rPr>
            </w:pPr>
            <w:r>
              <w:rPr>
                <w:rFonts w:hint="eastAsia" w:ascii="宋体" w:hAnsi="宋体"/>
                <w:bCs w:val="0"/>
                <w:color w:val="auto"/>
                <w:sz w:val="24"/>
              </w:rPr>
              <w:t xml:space="preserve">其他专用条款</w:t>
            </w:r>
            <w:r/>
          </w:p>
        </w:tc>
        <w:tc>
          <w:tcPr>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3.验收不合格的货物，乙方应在</w:t>
            </w:r>
            <w:r>
              <w:rPr>
                <w:rFonts w:hint="eastAsia" w:ascii="宋体" w:hAnsi="宋体" w:eastAsia="宋体" w:cs="宋体"/>
                <w:color w:val="auto"/>
                <w:sz w:val="24"/>
                <w:szCs w:val="20"/>
                <w:highlight w:val="none"/>
                <w:u w:val="single"/>
              </w:rPr>
              <w:t xml:space="preserve">三个工作日</w:t>
            </w:r>
            <w:r>
              <w:rPr>
                <w:rFonts w:hint="eastAsia" w:ascii="宋体" w:hAnsi="宋体" w:eastAsia="宋体" w:cs="宋体"/>
                <w:color w:val="auto"/>
                <w:sz w:val="24"/>
                <w:szCs w:val="20"/>
                <w:highlight w:val="none"/>
              </w:rPr>
              <w:t xml:space="preserve">内予以更换，逾期按交货延误予以处罚。乙方所交付的货物品种、型号、规格不符合合同规定的，甲方有权拒收。甲方拒收的，乙方向甲方支付货款总额</w:t>
            </w:r>
            <w:r>
              <w:rPr>
                <w:rFonts w:hint="eastAsia" w:ascii="宋体" w:hAnsi="宋体" w:eastAsia="宋体" w:cs="宋体"/>
                <w:sz w:val="24"/>
                <w:szCs w:val="20"/>
                <w:u w:val="single"/>
                <w:lang w:val="en-US" w:eastAsia="zh-CN"/>
              </w:rPr>
              <w:t xml:space="preserve">  </w:t>
            </w:r>
            <w:r>
              <w:rPr>
                <w:rFonts w:hint="eastAsia" w:ascii="宋体" w:hAnsi="宋体" w:eastAsia="宋体" w:cs="宋体"/>
                <w:color w:val="auto"/>
                <w:sz w:val="24"/>
                <w:szCs w:val="20"/>
                <w:highlight w:val="none"/>
                <w:u w:val="single"/>
              </w:rPr>
              <w:t xml:space="preserve">5</w:t>
            </w:r>
            <w:r>
              <w:rPr>
                <w:rFonts w:hint="eastAsia" w:ascii="宋体" w:hAnsi="宋体" w:eastAsia="宋体" w:cs="宋体"/>
                <w:sz w:val="24"/>
                <w:szCs w:val="20"/>
                <w:u w:val="single"/>
                <w:lang w:val="en-US" w:eastAsia="zh-CN"/>
              </w:rPr>
              <w:t xml:space="preserve"> </w:t>
            </w:r>
            <w:r>
              <w:rPr>
                <w:rFonts w:hint="eastAsia" w:ascii="宋体" w:hAnsi="宋体" w:eastAsia="宋体" w:cs="宋体"/>
                <w:color w:val="auto"/>
                <w:sz w:val="24"/>
                <w:szCs w:val="20"/>
                <w:highlight w:val="none"/>
                <w:u w:val="single"/>
              </w:rPr>
              <w:t xml:space="preserve">%</w:t>
            </w:r>
            <w:r>
              <w:rPr>
                <w:rFonts w:hint="eastAsia" w:ascii="宋体" w:hAnsi="宋体" w:eastAsia="宋体" w:cs="宋体"/>
                <w:color w:val="auto"/>
                <w:sz w:val="24"/>
                <w:szCs w:val="20"/>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4.货物验收要求</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（1）依照招标文件要求对全部货物、型号、规格、数量、外型、外观、包装及资料、文件（如装箱单、保修单、随箱介质等）进行验收。</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（2）甲方与乙方对货物到货后共同进行开箱检查，出现损坏、数量不全或产品不对等问题时，由乙方负责解决。</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（3）甲方有权从乙方所送货物中任意抽出不同型号的产品送采购人所在地的质检部门检验，如果检验合格，检验费由甲方负担；如果检验不合格，则检验费由乙方负担。</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（4）乙方应按照本合同规定的时间、地点和方式向乙方交付货物。</w:t>
            </w:r>
            <w:r/>
          </w:p>
          <w:p>
            <w:pPr>
              <w:ind w:firstLine="482"/>
              <w:jc w:val="left"/>
              <w:spacing w:line="560" w:lineRule="exact"/>
              <w:widowControl/>
              <w:rPr>
                <w:rFonts w:hint="eastAsia" w:ascii="宋体" w:hAnsi="宋体" w:eastAsia="宋体" w:cs="宋体"/>
                <w:color w:val="0000ff"/>
                <w:sz w:val="24"/>
                <w:szCs w:val="20"/>
                <w:highlight w:val="none"/>
                <w:u w:val="single"/>
                <w:lang w:eastAsia="zh-CN"/>
              </w:rPr>
            </w:pPr>
            <w:r>
              <w:rPr>
                <w:rFonts w:hint="eastAsia" w:ascii="宋体" w:hAnsi="宋体" w:eastAsia="宋体" w:cs="宋体"/>
                <w:color w:val="auto"/>
                <w:sz w:val="24"/>
                <w:szCs w:val="20"/>
                <w:highlight w:val="none"/>
              </w:rPr>
              <w:t xml:space="preserve">交货时间：</w:t>
            </w:r>
            <w:r>
              <w:rPr>
                <w:rFonts w:hint="eastAsia" w:ascii="宋体" w:hAnsi="宋体" w:eastAsia="宋体" w:cs="宋体"/>
                <w:color w:val="0000ff"/>
                <w:sz w:val="24"/>
                <w:szCs w:val="20"/>
                <w:highlight w:val="none"/>
                <w:u w:val="single"/>
                <w:lang w:eastAsia="zh-CN"/>
              </w:rPr>
              <w:t xml:space="preserve">合同生效后90个日历天（此期限不包括采购人验收时间），供应商应在此期限内完成全部货物的交付、安装与调试。</w:t>
            </w:r>
            <w:r/>
          </w:p>
          <w:p>
            <w:pPr>
              <w:ind w:firstLine="482"/>
              <w:jc w:val="left"/>
              <w:spacing w:line="560" w:lineRule="exact"/>
              <w:widowControl/>
              <w:rPr>
                <w:rFonts w:hint="eastAsia" w:ascii="宋体" w:hAnsi="宋体" w:eastAsia="宋体" w:cs="宋体"/>
                <w:color w:val="0000ff"/>
                <w:sz w:val="24"/>
                <w:szCs w:val="20"/>
                <w:highlight w:val="none"/>
                <w:u w:val="single"/>
              </w:rPr>
            </w:pPr>
            <w:r>
              <w:rPr>
                <w:rFonts w:hint="eastAsia" w:ascii="宋体" w:hAnsi="宋体" w:eastAsia="宋体" w:cs="宋体"/>
                <w:color w:val="0000ff"/>
                <w:sz w:val="24"/>
                <w:szCs w:val="20"/>
                <w:highlight w:val="none"/>
                <w:u w:val="single"/>
                <w:lang w:val="en-US" w:eastAsia="zh-CN"/>
              </w:rPr>
              <w:t xml:space="preserve">注：</w:t>
            </w:r>
            <w:r>
              <w:rPr>
                <w:rFonts w:hint="eastAsia" w:ascii="宋体" w:hAnsi="宋体" w:eastAsia="宋体" w:cs="宋体"/>
                <w:color w:val="0000ff"/>
                <w:sz w:val="24"/>
                <w:szCs w:val="20"/>
                <w:highlight w:val="none"/>
                <w:u w:val="single"/>
              </w:rPr>
              <w:t xml:space="preserve">若因不可抗力或采购人场地、需求变更等非中标人原因需延期，中标人可提前10个工作日向采购人提交书面延期申请，说明延期理由及预计完成时间，经采购人书面同意后可调整交付时间，延期时间最长不超过30个日历日；因中标人自身原因导致延期的，按合同约定承担违约责任。</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交货地点：</w:t>
            </w:r>
            <w:r>
              <w:rPr>
                <w:rFonts w:hint="eastAsia" w:ascii="宋体" w:hAnsi="宋体" w:eastAsia="宋体" w:cs="宋体"/>
                <w:color w:val="auto"/>
                <w:sz w:val="24"/>
                <w:szCs w:val="20"/>
                <w:highlight w:val="none"/>
                <w:u w:val="single"/>
                <w:lang w:eastAsia="zh-CN"/>
              </w:rPr>
              <w:t xml:space="preserve">江苏省盐城技师学院</w:t>
            </w:r>
            <w:r>
              <w:rPr>
                <w:rFonts w:hint="eastAsia" w:ascii="宋体" w:hAnsi="宋体" w:eastAsia="宋体" w:cs="宋体"/>
                <w:color w:val="auto"/>
                <w:sz w:val="24"/>
                <w:szCs w:val="20"/>
                <w:highlight w:val="none"/>
                <w:u w:val="single"/>
              </w:rPr>
              <w:t xml:space="preserve">指定地点</w:t>
            </w:r>
            <w:r>
              <w:rPr>
                <w:rFonts w:hint="eastAsia" w:ascii="宋体" w:hAnsi="宋体" w:eastAsia="宋体" w:cs="宋体"/>
                <w:color w:val="auto"/>
                <w:sz w:val="24"/>
                <w:szCs w:val="20"/>
                <w:highlight w:val="none"/>
              </w:rPr>
              <w:t xml:space="preserve">。</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（5）甲方应在全部货物到货安装完毕后的</w:t>
            </w:r>
            <w:r>
              <w:rPr>
                <w:rFonts w:hint="eastAsia" w:ascii="宋体" w:hAnsi="宋体" w:eastAsia="宋体" w:cs="宋体"/>
                <w:color w:val="auto"/>
                <w:sz w:val="24"/>
                <w:szCs w:val="20"/>
                <w:highlight w:val="none"/>
                <w:u w:val="single"/>
              </w:rPr>
              <w:t xml:space="preserve">五个工作日</w:t>
            </w:r>
            <w:r>
              <w:rPr>
                <w:rFonts w:hint="eastAsia" w:ascii="宋体" w:hAnsi="宋体" w:eastAsia="宋体" w:cs="宋体"/>
                <w:color w:val="auto"/>
                <w:sz w:val="24"/>
                <w:szCs w:val="20"/>
                <w:highlight w:val="none"/>
              </w:rPr>
              <w:t xml:space="preserve">内进行验收，验收包括：型号、规格、数量、外观是否完好，安装调试是否合格等。验收合格后甲方应在验收报告上签字盖章，初步验收合格且</w:t>
            </w:r>
            <w:r>
              <w:rPr>
                <w:rFonts w:hint="eastAsia" w:ascii="宋体" w:hAnsi="宋体" w:eastAsia="宋体" w:cs="宋体"/>
                <w:color w:val="auto"/>
                <w:sz w:val="24"/>
                <w:szCs w:val="20"/>
                <w:highlight w:val="none"/>
                <w:lang w:val="en-US" w:eastAsia="zh-CN"/>
              </w:rPr>
              <w:t xml:space="preserve">按合同要求</w:t>
            </w:r>
            <w:r>
              <w:rPr>
                <w:rFonts w:hint="eastAsia" w:ascii="宋体" w:hAnsi="宋体" w:eastAsia="宋体" w:cs="宋体"/>
                <w:color w:val="auto"/>
                <w:sz w:val="24"/>
                <w:szCs w:val="20"/>
                <w:highlight w:val="none"/>
              </w:rPr>
              <w:t xml:space="preserve">项目运行</w:t>
            </w:r>
            <w:r>
              <w:rPr>
                <w:rFonts w:hint="eastAsia" w:ascii="宋体" w:hAnsi="宋体" w:eastAsia="宋体" w:cs="宋体"/>
                <w:color w:val="auto"/>
                <w:sz w:val="24"/>
                <w:szCs w:val="20"/>
                <w:highlight w:val="none"/>
                <w:lang w:val="en-US" w:eastAsia="zh-CN"/>
              </w:rPr>
              <w:t xml:space="preserve">期</w:t>
            </w:r>
            <w:r>
              <w:rPr>
                <w:rFonts w:hint="eastAsia" w:ascii="宋体" w:hAnsi="宋体" w:eastAsia="宋体" w:cs="宋体"/>
                <w:color w:val="auto"/>
                <w:sz w:val="24"/>
                <w:szCs w:val="20"/>
                <w:highlight w:val="none"/>
              </w:rPr>
              <w:t xml:space="preserve">满后，甲方组织对货物的质量及使用状况等进行最终验收。</w:t>
            </w:r>
            <w:r/>
          </w:p>
          <w:p>
            <w:pPr>
              <w:ind w:firstLine="482"/>
              <w:jc w:val="left"/>
              <w:spacing w:line="560" w:lineRule="exact"/>
              <w:widowControl/>
              <w:rPr>
                <w:rFonts w:ascii="宋体" w:hAnsi="宋体"/>
                <w:color w:val="auto"/>
                <w:sz w:val="24"/>
                <w:highlight w:val="white"/>
              </w:rPr>
            </w:pPr>
            <w:r>
              <w:rPr>
                <w:rFonts w:hint="eastAsia" w:ascii="宋体" w:hAnsi="宋体" w:eastAsia="宋体" w:cs="宋体"/>
                <w:color w:val="auto"/>
                <w:sz w:val="24"/>
                <w:szCs w:val="20"/>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供货时须提供所供</w:t>
            </w:r>
            <w:r>
              <w:rPr>
                <w:rFonts w:hint="eastAsia" w:ascii="宋体" w:hAnsi="宋体" w:eastAsia="宋体" w:cs="宋体"/>
                <w:color w:val="auto"/>
                <w:sz w:val="24"/>
                <w:szCs w:val="20"/>
                <w:highlight w:val="none"/>
                <w:lang w:val="en-US" w:eastAsia="zh-CN"/>
              </w:rPr>
              <w:t xml:space="preserve">货物</w:t>
            </w:r>
            <w:r>
              <w:rPr>
                <w:rFonts w:hint="eastAsia" w:ascii="宋体" w:hAnsi="宋体" w:eastAsia="宋体" w:cs="宋体"/>
                <w:color w:val="auto"/>
                <w:sz w:val="24"/>
                <w:szCs w:val="20"/>
                <w:highlight w:val="none"/>
              </w:rPr>
              <w:t xml:space="preserve">原材料合格</w:t>
            </w:r>
            <w:r>
              <w:rPr>
                <w:rFonts w:hint="eastAsia" w:ascii="宋体" w:hAnsi="宋体" w:eastAsia="宋体" w:cs="宋体"/>
                <w:color w:val="auto"/>
                <w:sz w:val="24"/>
                <w:szCs w:val="20"/>
              </w:rPr>
              <w:t xml:space="preserve">证明，否则将会被拒收；</w:t>
            </w:r>
            <w:r>
              <w:rPr>
                <w:rFonts w:hint="eastAsia" w:ascii="宋体" w:hAnsi="宋体" w:eastAsia="宋体" w:cs="宋体"/>
                <w:color w:val="auto"/>
                <w:sz w:val="24"/>
                <w:szCs w:val="20"/>
                <w:lang w:val="en-US" w:eastAsia="zh-CN"/>
              </w:rPr>
              <w:t xml:space="preserve">采购人有权</w:t>
            </w:r>
            <w:r>
              <w:rPr>
                <w:rFonts w:hint="eastAsia" w:ascii="宋体" w:hAnsi="宋体" w:eastAsia="宋体" w:cs="宋体"/>
                <w:color w:val="auto"/>
                <w:sz w:val="24"/>
                <w:szCs w:val="20"/>
              </w:rPr>
              <w:t xml:space="preserve">到货后的7日内组织对货物进行验收，</w:t>
            </w:r>
            <w:r>
              <w:rPr>
                <w:rFonts w:hint="eastAsia" w:ascii="宋体" w:hAnsi="宋体" w:eastAsia="宋体" w:cs="宋体"/>
                <w:color w:val="auto"/>
                <w:sz w:val="24"/>
                <w:szCs w:val="20"/>
                <w:lang w:val="en-US" w:eastAsia="zh-CN"/>
              </w:rPr>
              <w:t xml:space="preserve">采购人有权</w:t>
            </w:r>
            <w:r>
              <w:rPr>
                <w:rFonts w:hint="eastAsia" w:ascii="宋体" w:hAnsi="宋体" w:eastAsia="宋体" w:cs="宋体"/>
                <w:color w:val="auto"/>
                <w:sz w:val="24"/>
                <w:szCs w:val="20"/>
              </w:rPr>
              <w:t xml:space="preserve">每批次随机抽取两套送至具备资质的第三方检测机构进行检验、检测。检验、检测的各种参数和指标都要符合国家标准和采购文件要求。若第三方检测机构的检验、检测为不合格，必须无条件整改，对</w:t>
            </w:r>
            <w:r>
              <w:rPr>
                <w:rFonts w:hint="eastAsia" w:ascii="宋体" w:hAnsi="宋体" w:eastAsia="宋体" w:cs="宋体"/>
                <w:color w:val="auto"/>
                <w:sz w:val="24"/>
                <w:szCs w:val="20"/>
                <w:lang w:val="en-US" w:eastAsia="zh-CN"/>
              </w:rPr>
              <w:t xml:space="preserve">中标供应商</w:t>
            </w:r>
            <w:r>
              <w:rPr>
                <w:rFonts w:hint="eastAsia" w:ascii="宋体" w:hAnsi="宋体" w:eastAsia="宋体" w:cs="宋体"/>
                <w:color w:val="auto"/>
                <w:sz w:val="24"/>
                <w:szCs w:val="20"/>
              </w:rPr>
              <w:t xml:space="preserve">处以书面警告，并依据合同约定处以合同总价5%的违约金。该违约金系对采购人因此遭受的管理成本增加、风险扩大等损失的预先估算。若该违约金不足以弥补采购人因此遭受的全部实际损失（包括但不限于第三方检测费、工期延误损失等），</w:t>
            </w:r>
            <w:r>
              <w:rPr>
                <w:rFonts w:hint="eastAsia" w:ascii="宋体" w:hAnsi="宋体" w:eastAsia="宋体" w:cs="宋体"/>
                <w:color w:val="auto"/>
                <w:sz w:val="24"/>
                <w:szCs w:val="20"/>
                <w:lang w:val="en-US" w:eastAsia="zh-CN"/>
              </w:rPr>
              <w:t xml:space="preserve">中标</w:t>
            </w:r>
            <w:r>
              <w:rPr>
                <w:rFonts w:hint="eastAsia" w:ascii="宋体" w:hAnsi="宋体" w:eastAsia="宋体" w:cs="宋体"/>
                <w:color w:val="auto"/>
                <w:sz w:val="24"/>
                <w:szCs w:val="20"/>
              </w:rPr>
              <w:t xml:space="preserve">供应商应继续赔偿。并将有关结果报相关职能部门对所涉企业进行相关行政和刑事处罚</w:t>
            </w:r>
            <w:r>
              <w:rPr>
                <w:rFonts w:hint="eastAsia" w:ascii="宋体" w:hAnsi="宋体" w:eastAsia="宋体" w:cs="宋体"/>
                <w:color w:val="auto"/>
                <w:sz w:val="24"/>
                <w:szCs w:val="20"/>
                <w:lang w:eastAsia="zh-CN"/>
              </w:rPr>
              <w:t xml:space="preserve">。</w:t>
            </w:r>
            <w:r/>
          </w:p>
        </w:tc>
      </w:tr>
      <w:tr>
        <w:trPr>
          <w:jc w:val="center"/>
          <w:trHeight w:val="0"/>
        </w:trPr>
        <w:tc>
          <w:tcPr>
            <w:tcW w:w="124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13" w:type="dxa"/>
            <w:vAlign w:val="center"/>
            <w:textDirection w:val="lrTb"/>
            <w:noWrap w:val="false"/>
          </w:tcPr>
          <w:p>
            <w:pPr>
              <w:jc w:val="center"/>
              <w:rPr>
                <w:rFonts w:ascii="宋体" w:hAnsi="宋体"/>
                <w:bCs/>
                <w:color w:val="auto"/>
                <w:sz w:val="24"/>
              </w:rPr>
            </w:pPr>
            <w:r>
              <w:rPr>
                <w:rFonts w:hint="eastAsia" w:ascii="宋体" w:hAnsi="宋体"/>
                <w:bCs/>
                <w:color w:val="auto"/>
                <w:sz w:val="24"/>
              </w:rPr>
              <w:t xml:space="preserve">税费</w:t>
            </w:r>
            <w:r/>
          </w:p>
        </w:tc>
        <w:tc>
          <w:tcPr>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1.中国政府根据现行税法规定对甲方征收的与本合同有关的一切税费均由甲方负担（免税部分除外），招标文件另有规定的除外。</w:t>
            </w:r>
            <w:r/>
          </w:p>
          <w:p>
            <w:pPr>
              <w:ind w:firstLine="482"/>
              <w:jc w:val="left"/>
              <w:spacing w:line="560" w:lineRule="exact"/>
              <w:widowControl/>
              <w:rPr>
                <w:rFonts w:ascii="宋体" w:hAnsi="宋体"/>
                <w:color w:val="auto"/>
                <w:sz w:val="24"/>
                <w:highlight w:val="white"/>
              </w:rPr>
            </w:pPr>
            <w:r>
              <w:rPr>
                <w:rFonts w:hint="eastAsia" w:ascii="宋体" w:hAnsi="宋体" w:eastAsia="宋体" w:cs="宋体"/>
                <w:color w:val="auto"/>
                <w:sz w:val="24"/>
                <w:szCs w:val="20"/>
                <w:highlight w:val="none"/>
              </w:rPr>
              <w:t xml:space="preserve">2.中国政府根据现行税法规定对乙方征收的与本合同有关的一切税费均由乙方负担（免税部分除外）。</w:t>
            </w:r>
            <w:r/>
          </w:p>
        </w:tc>
      </w:tr>
      <w:tr>
        <w:trPr>
          <w:jc w:val="center"/>
          <w:trHeight w:val="0"/>
        </w:trPr>
        <w:tc>
          <w:tcPr>
            <w:tcW w:w="1245" w:type="dxa"/>
            <w:vAlign w:val="center"/>
            <w:textDirection w:val="lrTb"/>
            <w:noWrap w:val="false"/>
          </w:tcPr>
          <w:p>
            <w:pPr>
              <w:jc w:val="center"/>
              <w:rPr>
                <w:rFonts w:ascii="宋体" w:hAnsi="宋体"/>
                <w:color w:val="auto"/>
                <w:sz w:val="24"/>
                <w:highlight w:val="yellow"/>
              </w:rPr>
            </w:pPr>
            <w:r>
              <w:rPr>
                <w:rFonts w:ascii="宋体" w:hAnsi="宋体"/>
                <w:color w:val="auto"/>
                <w:sz w:val="24"/>
                <w:highlight w:val="yellow"/>
              </w:rPr>
            </w:r>
            <w:r/>
          </w:p>
        </w:tc>
        <w:tc>
          <w:tcPr>
            <w:tcW w:w="1413" w:type="dxa"/>
            <w:vAlign w:val="center"/>
            <w:textDirection w:val="lrTb"/>
            <w:noWrap w:val="false"/>
          </w:tcPr>
          <w:p>
            <w:pPr>
              <w:jc w:val="center"/>
              <w:rPr>
                <w:rFonts w:ascii="宋体" w:hAnsi="宋体"/>
                <w:bCs/>
                <w:color w:val="auto"/>
                <w:sz w:val="24"/>
              </w:rPr>
            </w:pPr>
            <w:r>
              <w:rPr>
                <w:rFonts w:hint="eastAsia" w:ascii="宋体" w:hAnsi="宋体"/>
                <w:bCs/>
                <w:color w:val="auto"/>
                <w:sz w:val="24"/>
              </w:rPr>
              <w:t xml:space="preserve">伴随服务</w:t>
            </w:r>
            <w:r/>
          </w:p>
        </w:tc>
        <w:tc>
          <w:tcPr>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1.乙方应按照国家</w:t>
            </w:r>
            <w:r>
              <w:rPr>
                <w:rFonts w:hint="eastAsia" w:ascii="宋体" w:hAnsi="宋体" w:eastAsia="宋体" w:cs="宋体"/>
                <w:b w:val="0"/>
                <w:color w:val="auto"/>
                <w:sz w:val="24"/>
                <w:szCs w:val="20"/>
                <w:highlight w:val="none"/>
              </w:rPr>
              <w:t xml:space="preserve">“</w:t>
            </w:r>
            <w:r>
              <w:rPr>
                <w:rFonts w:hint="eastAsia" w:ascii="宋体" w:hAnsi="宋体" w:eastAsia="宋体" w:cs="宋体"/>
                <w:b/>
                <w:bCs/>
                <w:color w:val="auto"/>
                <w:sz w:val="24"/>
                <w:szCs w:val="20"/>
                <w:highlight w:val="none"/>
              </w:rPr>
              <w:t xml:space="preserve">新三包</w:t>
            </w:r>
            <w:r>
              <w:rPr>
                <w:rFonts w:hint="eastAsia" w:ascii="宋体" w:hAnsi="宋体" w:eastAsia="宋体" w:cs="宋体"/>
                <w:b w:val="0"/>
                <w:color w:val="auto"/>
                <w:sz w:val="24"/>
                <w:szCs w:val="20"/>
                <w:highlight w:val="none"/>
              </w:rPr>
              <w:t xml:space="preserve">”</w:t>
            </w:r>
            <w:r>
              <w:rPr>
                <w:rFonts w:hint="eastAsia" w:ascii="宋体" w:hAnsi="宋体" w:eastAsia="宋体" w:cs="宋体"/>
                <w:color w:val="auto"/>
                <w:sz w:val="24"/>
                <w:szCs w:val="20"/>
                <w:highlight w:val="none"/>
              </w:rPr>
              <w:t xml:space="preserve">规定和合同中所附的服务承诺提供服务。</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2.除第1条规定外，乙方还应提供下列服务：</w:t>
            </w:r>
            <w:r/>
          </w:p>
          <w:p>
            <w:pPr>
              <w:ind w:firstLine="482"/>
              <w:jc w:val="left"/>
              <w:spacing w:line="560" w:lineRule="exact"/>
              <w:widowControl/>
              <w:rPr>
                <w:rFonts w:hint="eastAsia" w:ascii="宋体" w:hAnsi="宋体" w:eastAsia="宋体" w:cs="宋体"/>
                <w:b w:val="0"/>
                <w:color w:val="auto"/>
                <w:sz w:val="24"/>
                <w:szCs w:val="20"/>
                <w:highlight w:val="none"/>
              </w:rPr>
            </w:pPr>
            <w:r>
              <w:rPr>
                <w:rFonts w:hint="eastAsia" w:ascii="宋体" w:hAnsi="宋体" w:eastAsia="宋体" w:cs="宋体"/>
                <w:b w:val="0"/>
                <w:color w:val="auto"/>
                <w:sz w:val="24"/>
                <w:szCs w:val="20"/>
                <w:highlight w:val="none"/>
              </w:rPr>
              <w:t xml:space="preserve"> </w:t>
            </w:r>
            <w:r>
              <w:rPr>
                <w:rFonts w:hint="eastAsia" w:ascii="宋体" w:hAnsi="宋体" w:eastAsia="宋体" w:cs="宋体"/>
                <w:b/>
                <w:bCs/>
                <w:color w:val="auto"/>
                <w:sz w:val="24"/>
                <w:szCs w:val="20"/>
                <w:highlight w:val="none"/>
              </w:rPr>
              <w:t xml:space="preserve">(1) 招标文件中的“服务要求”所规定的服务内容以及投标文件承诺提供的其他服务内容；</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(2) 负责货物的开孔，货物的现场安装；</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(3) 提供货物组装和维修所需的工具；</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(4) 在合同中乙方承诺的质保期限内对所提供货物正常使用实施监督、维修，但前提条件是该服务并不能免除乙方在质量保证期内应承担的义务；</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(5) 在货物交货现场就货物的安装、启用、维护等对甲方人员进行培训。</w:t>
            </w:r>
            <w:r/>
          </w:p>
          <w:p>
            <w:pPr>
              <w:ind w:firstLine="482"/>
              <w:jc w:val="left"/>
              <w:spacing w:line="560" w:lineRule="exact"/>
              <w:widowControl/>
              <w:rPr>
                <w:rFonts w:hint="eastAsia" w:ascii="宋体" w:hAnsi="宋体" w:eastAsia="宋体" w:cs="宋体"/>
                <w:color w:val="auto"/>
                <w:sz w:val="24"/>
                <w:highlight w:val="white"/>
              </w:rPr>
            </w:pPr>
            <w:r>
              <w:rPr>
                <w:rFonts w:hint="eastAsia" w:ascii="宋体" w:hAnsi="宋体" w:eastAsia="宋体" w:cs="宋体"/>
                <w:color w:val="auto"/>
                <w:sz w:val="24"/>
                <w:szCs w:val="20"/>
                <w:highlight w:val="none"/>
              </w:rPr>
              <w:t xml:space="preserve">3.伴随服务的费用应含在合同价中，不单独进行支付。</w:t>
            </w:r>
            <w:r/>
          </w:p>
        </w:tc>
      </w:tr>
      <w:tr>
        <w:trPr>
          <w:jc w:val="center"/>
          <w:trHeight w:val="0"/>
        </w:trPr>
        <w:tc>
          <w:tcPr>
            <w:tcW w:w="124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413"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索赔</w:t>
            </w:r>
            <w:r/>
          </w:p>
        </w:tc>
        <w:tc>
          <w:tcPr>
            <w:tcW w:w="5991" w:type="dxa"/>
            <w:vAlign w:val="center"/>
            <w:textDirection w:val="lrTb"/>
            <w:noWrap w:val="false"/>
          </w:tcPr>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1.甲方有权根据当地质检部门出具的检验报告，向乙方提出索赔。</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2.根据合同规定的检验期和质量保证期内，如果乙方对甲方提出的索赔和差异负有责任，乙方应按照甲方同意的下列一种或多种方式解决索赔事宜：</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 根据货物的低劣程度、损坏程度以及甲方所遭受损失的数额，乙方必须降低货物的价格。</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82"/>
              <w:jc w:val="left"/>
              <w:spacing w:line="560" w:lineRule="exact"/>
              <w:widowControl/>
              <w:rPr>
                <w:rFonts w:hint="eastAsia" w:ascii="宋体" w:hAnsi="宋体" w:eastAsia="宋体" w:cs="宋体"/>
                <w:color w:val="auto"/>
                <w:sz w:val="24"/>
                <w:highlight w:val="white"/>
              </w:rPr>
            </w:pPr>
            <w:r>
              <w:rPr>
                <w:rFonts w:hint="eastAsia" w:ascii="宋体" w:hAnsi="宋体" w:eastAsia="宋体" w:cs="宋体"/>
                <w:color w:val="auto"/>
                <w:sz w:val="24"/>
                <w:szCs w:val="20"/>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0"/>
        </w:trPr>
        <w:tc>
          <w:tcPr>
            <w:tcW w:w="1245"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p>
        </w:tc>
        <w:tc>
          <w:tcPr>
            <w:tcW w:w="1413" w:type="dxa"/>
            <w:vAlign w:val="center"/>
            <w:textDirection w:val="lrTb"/>
            <w:noWrap w:val="false"/>
          </w:tcPr>
          <w:p>
            <w:pPr>
              <w:jc w:val="center"/>
              <w:rPr>
                <w:rFonts w:ascii="宋体" w:hAnsi="宋体"/>
                <w:bCs/>
                <w:color w:val="auto"/>
                <w:sz w:val="24"/>
                <w:highlight w:val="white"/>
              </w:rPr>
            </w:pPr>
            <w:r>
              <w:rPr>
                <w:rFonts w:hint="eastAsia" w:ascii="宋体" w:hAnsi="宋体" w:eastAsia="Arial" w:cs="宋体"/>
                <w:color w:val="auto"/>
                <w:sz w:val="24"/>
                <w:szCs w:val="20"/>
                <w:highlight w:val="none"/>
              </w:rPr>
              <w:t xml:space="preserve">合同生效及其它</w:t>
            </w:r>
            <w:r/>
          </w:p>
        </w:tc>
        <w:tc>
          <w:tcPr>
            <w:tcW w:w="5991" w:type="dxa"/>
            <w:vAlign w:val="center"/>
            <w:textDirection w:val="lrTb"/>
            <w:noWrap w:val="false"/>
          </w:tcPr>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1.合同经甲方、乙方盖章后生效。</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2.货物交付使用后所发生的合同纠纷，由甲方与乙方协商处理。</w:t>
            </w:r>
            <w:r/>
          </w:p>
          <w:p>
            <w:pPr>
              <w:ind w:firstLine="482"/>
              <w:jc w:val="left"/>
              <w:spacing w:line="560" w:lineRule="exact"/>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2"/>
              <w:jc w:val="left"/>
              <w:spacing w:line="560" w:lineRule="exact"/>
              <w:widowControl/>
              <w:rPr>
                <w:rFonts w:ascii="宋体" w:hAnsi="宋体"/>
                <w:color w:val="auto"/>
                <w:sz w:val="24"/>
                <w:highlight w:val="white"/>
              </w:rPr>
            </w:pPr>
            <w:r>
              <w:rPr>
                <w:rFonts w:hint="eastAsia" w:ascii="宋体" w:hAnsi="宋体" w:eastAsia="Arial" w:cs="宋体"/>
                <w:color w:val="auto"/>
                <w:sz w:val="24"/>
                <w:szCs w:val="20"/>
                <w:highlight w:val="none"/>
              </w:rPr>
              <w:t xml:space="preserve">4.本合同应按照中华人民共和国的现行法律进行解释。本合同未尽事宜，遵照《</w:t>
            </w:r>
            <w:r>
              <w:rPr>
                <w:rFonts w:hint="eastAsia" w:ascii="宋体" w:hAnsi="宋体" w:eastAsia="Arial" w:cs="宋体"/>
                <w:color w:val="auto"/>
                <w:sz w:val="24"/>
                <w:szCs w:val="20"/>
                <w:highlight w:val="none"/>
                <w:lang w:val="en-US" w:eastAsia="zh-CN"/>
              </w:rPr>
              <w:t xml:space="preserve">中华人民共和国</w:t>
            </w:r>
            <w:r>
              <w:rPr>
                <w:rFonts w:hint="eastAsia" w:ascii="宋体" w:hAnsi="宋体" w:eastAsia="Arial" w:cs="宋体"/>
                <w:color w:val="auto"/>
                <w:sz w:val="24"/>
                <w:szCs w:val="20"/>
                <w:highlight w:val="none"/>
              </w:rPr>
              <w:t xml:space="preserve">民法典》、《</w:t>
            </w:r>
            <w:r>
              <w:rPr>
                <w:rFonts w:hint="eastAsia" w:ascii="宋体" w:hAnsi="宋体" w:eastAsia="Arial" w:cs="宋体"/>
                <w:color w:val="auto"/>
                <w:sz w:val="24"/>
                <w:szCs w:val="20"/>
                <w:highlight w:val="none"/>
                <w:lang w:val="en-US" w:eastAsia="zh-CN"/>
              </w:rPr>
              <w:t xml:space="preserve">中华人民共和国</w:t>
            </w:r>
            <w:r>
              <w:rPr>
                <w:rFonts w:hint="eastAsia" w:ascii="宋体" w:hAnsi="宋体" w:eastAsia="Arial" w:cs="宋体"/>
                <w:color w:val="auto"/>
                <w:sz w:val="24"/>
                <w:szCs w:val="20"/>
                <w:highlight w:val="none"/>
              </w:rPr>
              <w:t xml:space="preserve">政府采购法》等有关条文执行。</w:t>
            </w:r>
            <w:r/>
          </w:p>
        </w:tc>
      </w:tr>
    </w:tbl>
    <w:p>
      <w:pPr>
        <w:pStyle w:val="86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9"/>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69"/>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60"/>
      <w:r>
        <w:rPr>
          <w:rFonts w:hint="eastAsia" w:ascii="黑体" w:hAnsi="宋体" w:eastAsia="黑体" w:cs="黑体"/>
          <w:color w:val="000000"/>
          <w:sz w:val="44"/>
          <w:szCs w:val="44"/>
          <w:highlight w:val="none"/>
        </w:rPr>
        <w:t xml:space="preserve">四章 </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采购需求</w:t>
      </w:r>
      <w:bookmarkEnd w:id="161"/>
      <w:r/>
      <w:bookmarkEnd w:id="162"/>
      <w:r/>
      <w:bookmarkEnd w:id="163"/>
      <w:r/>
      <w:bookmarkEnd w:id="164"/>
      <w:r/>
      <w:bookmarkEnd w:id="165"/>
      <w:r/>
      <w:r/>
    </w:p>
    <w:p>
      <w:pPr>
        <w:pStyle w:val="892"/>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pPr>
      <w:r/>
      <w:bookmarkStart w:id="173" w:name="_Toc49090575"/>
      <w:r/>
      <w:bookmarkStart w:id="174" w:name="_Toc26554093"/>
      <w:r/>
      <w:bookmarkStart w:id="175" w:name="_Toc120614281"/>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73"/>
      <w:r/>
      <w:bookmarkEnd w:id="174"/>
      <w:r/>
      <w:r/>
    </w:p>
    <w:p>
      <w:pPr>
        <w:pStyle w:val="892"/>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一、货物清单</w:t>
      </w:r>
      <w:r>
        <w:rPr>
          <w:rFonts w:hint="eastAsia" w:ascii="宋体" w:hAnsi="宋体" w:eastAsia="宋体" w:cs="宋体"/>
          <w:b/>
          <w:bCs/>
          <w:color w:val="000000"/>
          <w:sz w:val="24"/>
          <w:szCs w:val="24"/>
          <w:highlight w:val="none"/>
        </w:rPr>
        <w:t xml:space="preserve">：</w:t>
      </w:r>
      <w:r/>
    </w:p>
    <w:tbl>
      <w:tblPr>
        <w:tblStyle w:val="856"/>
        <w:tblW w:w="8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3843"/>
        <w:gridCol w:w="1134"/>
        <w:gridCol w:w="992"/>
        <w:gridCol w:w="1398"/>
      </w:tblGrid>
      <w:tr>
        <w:trPr>
          <w:jc w:val="center"/>
          <w:trHeight w:val="454"/>
        </w:trPr>
        <w:tc>
          <w:tcPr>
            <w:tcW w:w="950"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3843"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产品</w:t>
            </w: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tcW w:w="1134"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单位</w:t>
            </w:r>
            <w:r/>
          </w:p>
        </w:tc>
        <w:tc>
          <w:tcPr>
            <w:tcW w:w="992"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数量</w:t>
            </w:r>
            <w:r/>
          </w:p>
        </w:tc>
        <w:tc>
          <w:tcPr>
            <w:tcW w:w="1398"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14:ligatures w14:val="none"/>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454"/>
        </w:trPr>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384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混凝土整平机器人</w:t>
            </w:r>
            <w:r/>
          </w:p>
        </w:tc>
        <w:tc>
          <w:tcPr>
            <w:tcW w:w="1134"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tcW w:w="992" w:type="dxa"/>
            <w:vAlign w:val="center"/>
            <w:textDirection w:val="lrTb"/>
            <w:noWrap w:val="false"/>
          </w:tcPr>
          <w:p>
            <w:pPr>
              <w:jc w:val="center"/>
              <w:keepLines w:val="0"/>
              <w:keepNext w:val="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398" w:type="dxa"/>
            <w:vAlign w:val="center"/>
            <w:textDirection w:val="lrTb"/>
            <w:noWrap w:val="false"/>
          </w:tcPr>
          <w:p>
            <w:pPr>
              <w:jc w:val="center"/>
              <w:keepLines/>
              <w:keepNex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384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混凝土抹光机器人</w:t>
            </w:r>
            <w:r/>
          </w:p>
        </w:tc>
        <w:tc>
          <w:tcPr>
            <w:tcW w:w="1134"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ffffff" w:fill="ffffff"/>
            <w:tcW w:w="139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384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建筑测量机器人</w:t>
            </w:r>
            <w:r/>
          </w:p>
        </w:tc>
        <w:tc>
          <w:tcPr>
            <w:tcW w:w="1134"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ffffff" w:fill="ffffff"/>
            <w:tcW w:w="139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384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地库喷涂机器人</w:t>
            </w:r>
            <w:r/>
          </w:p>
        </w:tc>
        <w:tc>
          <w:tcPr>
            <w:tcW w:w="1134"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ffffff" w:fill="ffffff"/>
            <w:tcW w:w="1398"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核心产品</w:t>
            </w:r>
            <w:r/>
          </w:p>
        </w:tc>
      </w:tr>
      <w:tr>
        <w:trPr>
          <w:jc w:val="center"/>
          <w:trHeight w:val="454"/>
        </w:trPr>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384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家装喷涂机器人</w:t>
            </w:r>
            <w:r/>
          </w:p>
        </w:tc>
        <w:tc>
          <w:tcPr>
            <w:tcW w:w="1134"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ffffff" w:fill="ffffff"/>
            <w:tcW w:w="139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384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地砖铺贴机器人</w:t>
            </w:r>
            <w:r/>
          </w:p>
        </w:tc>
        <w:tc>
          <w:tcPr>
            <w:tcW w:w="1134"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ffffff" w:fill="ffffff"/>
            <w:tcW w:w="139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核心产品</w:t>
            </w:r>
            <w:r/>
          </w:p>
        </w:tc>
      </w:tr>
      <w:tr>
        <w:trPr>
          <w:jc w:val="center"/>
          <w:trHeight w:val="454"/>
        </w:trPr>
        <w:tc>
          <w:tcPr>
            <w:shd w:val="clear" w:color="auto" w:fill="auto"/>
            <w:tcW w:w="950"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384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RTK（基站）</w:t>
            </w:r>
            <w:r/>
          </w:p>
        </w:tc>
        <w:tc>
          <w:tcPr>
            <w:tcW w:w="1134"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ffffff" w:fill="ffffff"/>
            <w:tcW w:w="139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trPr>
        <w:tc>
          <w:tcPr>
            <w:shd w:val="clear" w:color="auto" w:fill="auto"/>
            <w:tcW w:w="950" w:type="dxa"/>
            <w:vAlign w:val="center"/>
            <w:textDirection w:val="lrTb"/>
            <w:noWrap w:val="false"/>
          </w:tcPr>
          <w:p>
            <w:pPr>
              <w:jc w:val="center"/>
              <w:keepLines w:val="0"/>
              <w:keepNext w:val="0"/>
              <w:widowControl/>
              <w:rPr>
                <w:rFonts w:hint="default" w:ascii="宋体" w:hAnsi="宋体" w:cs="宋体"/>
                <w:color w:val="000000"/>
                <w:szCs w:val="18"/>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843"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RTK（移动站）</w:t>
            </w:r>
            <w:r/>
          </w:p>
        </w:tc>
        <w:tc>
          <w:tcPr>
            <w:tcW w:w="1134"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p>
        </w:tc>
        <w:tc>
          <w:tcPr>
            <w:shd w:val="clear" w:color="auto" w:fill="auto"/>
            <w:tcW w:w="992" w:type="dxa"/>
            <w:vAlign w:val="center"/>
            <w:textDirection w:val="lrTb"/>
            <w:noWrap w:val="false"/>
          </w:tcPr>
          <w:p>
            <w:pPr>
              <w:jc w:val="center"/>
              <w:keepLines w:val="0"/>
              <w:keepNext w:val="0"/>
              <w:widowControl/>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ffffff" w:fill="ffffff"/>
            <w:tcW w:w="139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892"/>
        <w:jc w:val="both"/>
        <w:keepLines w:val="0"/>
        <w:keepNext w:val="0"/>
        <w:pageBreakBefore w:val="0"/>
        <w:spacing w:beforeAutospacing="0" w:afterAutospacing="0" w:line="480" w:lineRule="exact"/>
        <w:widowControl w:val="off"/>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注：本项目核心产品为</w:t>
      </w:r>
      <w:r>
        <w:rPr>
          <w:rFonts w:hint="eastAsia" w:ascii="宋体" w:hAnsi="宋体" w:eastAsia="宋体" w:cs="宋体"/>
          <w:b/>
          <w:bCs/>
          <w:color w:val="0000ff"/>
          <w:sz w:val="24"/>
          <w:szCs w:val="24"/>
          <w:highlight w:val="none"/>
          <w:u w:val="single"/>
        </w:rPr>
        <w:t xml:space="preserve">地库喷涂机器人、地砖铺贴机器人</w:t>
      </w:r>
      <w:r>
        <w:rPr>
          <w:rFonts w:hint="eastAsia" w:ascii="宋体" w:hAnsi="宋体" w:eastAsia="宋体" w:cs="宋体"/>
          <w:b/>
          <w:bCs/>
          <w:color w:val="0000ff"/>
          <w:sz w:val="24"/>
          <w:szCs w:val="24"/>
          <w:highlight w:val="none"/>
        </w:rPr>
        <w:t xml:space="preserve">。</w:t>
      </w:r>
      <w:r/>
    </w:p>
    <w:p>
      <w:pPr>
        <w:pStyle w:val="892"/>
        <w:jc w:val="both"/>
        <w:keepLines w:val="0"/>
        <w:keepNext w:val="0"/>
        <w:pageBreakBefore w:val="0"/>
        <w:spacing w:beforeAutospacing="0" w:afterAutospacing="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二、技术要求</w:t>
      </w:r>
      <w:r/>
    </w:p>
    <w:tbl>
      <w:tblPr>
        <w:tblStyle w:val="8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3"/>
        <w:gridCol w:w="860"/>
        <w:gridCol w:w="6212"/>
        <w:gridCol w:w="483"/>
        <w:gridCol w:w="484"/>
      </w:tblGrid>
      <w:tr>
        <w:trPr>
          <w:jc w:val="cente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设备名称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r>
      <w:tr>
        <w:trPr>
          <w:jc w:val="cente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混凝土整平机器人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iCs/>
                <w:color w:val="000000"/>
                <w:sz w:val="24"/>
                <w:szCs w:val="24"/>
                <w:highlight w:val="none"/>
                <w:u w:val="single"/>
                <w:lang w:val="en-US" w:eastAsia="zh-CN" w:bidi="ar"/>
              </w:rPr>
              <w:t xml:space="preserve">混凝土整平机器人适用于楼面、仓库、地库、厂房、机场、商场等需要做混凝土高精度地面施工的场景，可以应用于混凝土浇筑后，对地面进行高精度整平施工，使用伺服电机速度平滑算法，动态PID算法及激光自主找平方法，满足整平控制逻辑。设备具备操作简单、施工质量好、平整度</w:t>
            </w:r>
            <w:r>
              <w:rPr>
                <w:rFonts w:hint="eastAsia" w:ascii="宋体" w:hAnsi="宋体" w:eastAsia="宋体" w:cs="宋体"/>
                <w:b w:val="0"/>
                <w:bCs w:val="0"/>
                <w:i/>
                <w:iCs/>
                <w:color w:val="auto"/>
                <w:sz w:val="24"/>
                <w:szCs w:val="24"/>
                <w:highlight w:val="none"/>
                <w:u w:val="single"/>
                <w:lang w:val="en-US" w:eastAsia="zh-CN" w:bidi="ar"/>
              </w:rPr>
              <w:t xml:space="preserve">误差小、地面密实均匀、施工效率高等优势。</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1.整机重量  ≤  400kg；</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2.整平宽度 ≥ 1.5 m；</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3.水平调节： 电子水平仪+陀螺仪；</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4.驱动方式： 伺服电机驱动；</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5.控制方式： 遥控；</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6.控制范围≥  200 m；</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7.施工效率 ：200~300 ㎡/h；</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8.施工速度： 0~0.45 m/s；</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9.连续工作时间≥  6 h；</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10.整机尺寸 ≤长1700mm，宽1500mm，高1500mm；</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11.额定功率≥  1.5 kw</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12.越障高度：≥50mm；</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13.施工后的平整度可以达到±5mm以内。</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混凝土抹光机器人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iCs/>
                <w:color w:val="000000"/>
                <w:sz w:val="24"/>
                <w:szCs w:val="24"/>
                <w:highlight w:val="none"/>
                <w:u w:val="single"/>
                <w:lang w:val="en-US" w:eastAsia="zh-CN" w:bidi="ar"/>
              </w:rPr>
              <w:t xml:space="preserve">混凝土抹光机器人应用于混凝土抹平后终凝前的收光，对地面进行收光、压实的施工机器人，实现了地面光洁度要求，遥控器操作，无需进入混凝土内，具备操作简单，收光效果好等优势；提高工作效率的同时也保证了施工质量的稳定性。</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1.整</w:t>
            </w:r>
            <w:r>
              <w:rPr>
                <w:rFonts w:hint="eastAsia" w:ascii="宋体" w:hAnsi="宋体" w:eastAsia="宋体" w:cs="宋体"/>
                <w:b w:val="0"/>
                <w:bCs w:val="0"/>
                <w:i/>
                <w:iCs/>
                <w:color w:val="auto"/>
                <w:sz w:val="24"/>
                <w:szCs w:val="24"/>
                <w:highlight w:val="none"/>
                <w:u w:val="single"/>
                <w:lang w:val="en-US" w:eastAsia="zh-CN" w:bidi="ar"/>
              </w:rPr>
              <w:t xml:space="preserve">机重量≤ 300kg；</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2.回转直径≥  770 mm；</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3.抹盘转速 ：0~130 rpm；</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4.整机尺寸≤长1600mm，宽1600mm，高600mm；</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b w:val="0"/>
                <w:bCs w:val="0"/>
                <w:i/>
                <w:iCs/>
                <w:color w:val="auto"/>
                <w:sz w:val="24"/>
                <w:szCs w:val="24"/>
                <w:highlight w:val="none"/>
                <w:u w:val="single"/>
                <w:lang w:val="en-US" w:eastAsia="zh-CN" w:bidi="ar"/>
              </w:rPr>
              <w:t xml:space="preserve">5.驱动方式 ：伺服电机驱动；</w:t>
            </w:r>
            <w:r>
              <w:rPr>
                <w:rFonts w:hint="eastAsia" w:ascii="宋体" w:hAnsi="宋体" w:eastAsia="宋体" w:cs="宋体"/>
                <w:b w:val="0"/>
                <w:bCs w:val="0"/>
                <w:i/>
                <w:iCs/>
                <w:color w:val="auto"/>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6.控制方式 ： 遥控；</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7.控制范围≥  200 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8.施工效率 ：300~500 ㎡/h；</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9.施工速度： 0~0.45 m/s；</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10.连续工作时间≥ 3h；</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11.额定功率≥  5.5 kw</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12.平整度：2m范围内最大偏差不超过5mm。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建筑测量机器人</w:t>
            </w:r>
            <w:r/>
          </w:p>
        </w:tc>
        <w:tc>
          <w:tcPr>
            <w:shd w:val="clear" w:color="auto" w:fill="auto"/>
            <w:tcW w:w="0" w:type="auto"/>
            <w:vAlign w:val="center"/>
            <w:textDirection w:val="lrTb"/>
            <w:noWrap w:val="false"/>
          </w:tcPr>
          <w:p>
            <w:pPr>
              <w:pStyle w:val="861"/>
              <w:rPr>
                <w:rFonts w:hint="eastAsia" w:ascii="宋体" w:hAnsi="宋体" w:eastAsia="宋体" w:cs="宋体"/>
                <w:i w:val="0"/>
                <w:iCs w:val="0"/>
                <w:color w:val="000000"/>
                <w:sz w:val="24"/>
                <w:szCs w:val="24"/>
                <w:highlight w:val="none"/>
                <w:u w:val="none"/>
              </w:rPr>
            </w:pPr>
            <w:r>
              <w:rPr>
                <w:rFonts w:hint="eastAsia" w:ascii="宋体" w:hAnsi="宋体" w:eastAsia="宋体" w:cs="宋体"/>
                <w:i/>
                <w:iCs/>
                <w:color w:val="000000"/>
                <w:sz w:val="24"/>
                <w:szCs w:val="24"/>
                <w:highlight w:val="none"/>
                <w:u w:val="single"/>
                <w:lang w:val="en-US" w:eastAsia="zh-CN" w:bidi="ar"/>
              </w:rPr>
              <w:t xml:space="preserve">实测实量机器人，采用了四舵轮全向驱动，单目 3D 立体视觉技术，配合 APP可实现自动或手动测量建筑内平面度、垂直度、水平度等多种几何指标，实时计算和上传测量数据，</w:t>
            </w:r>
            <w:r>
              <w:rPr>
                <w:rFonts w:hint="eastAsia" w:ascii="宋体" w:hAnsi="宋体" w:eastAsia="宋体" w:cs="宋体"/>
                <w:i/>
                <w:iCs/>
                <w:color w:val="auto"/>
                <w:sz w:val="24"/>
                <w:szCs w:val="24"/>
                <w:highlight w:val="none"/>
                <w:u w:val="single"/>
                <w:lang w:val="en-US" w:eastAsia="zh-CN" w:bidi="ar"/>
              </w:rPr>
              <w:t xml:space="preserve">可视化的将测量结果指标呈现给用户</w:t>
            </w:r>
            <w:r>
              <w:rPr>
                <w:rFonts w:hint="eastAsia" w:ascii="宋体" w:hAnsi="宋体" w:eastAsia="宋体" w:cs="宋体"/>
                <w:i/>
                <w:iCs/>
                <w:color w:val="auto"/>
                <w:sz w:val="24"/>
                <w:szCs w:val="24"/>
                <w:highlight w:val="none"/>
                <w:u w:val="single"/>
                <w:lang w:val="en-US" w:eastAsia="zh-CN" w:bidi="ar"/>
              </w:rPr>
              <w:br/>
            </w:r>
            <w:r>
              <w:rPr>
                <w:rFonts w:hint="eastAsia" w:ascii="宋体" w:hAnsi="宋体" w:eastAsia="宋体" w:cs="宋体"/>
                <w:i/>
                <w:iCs/>
                <w:color w:val="auto"/>
                <w:sz w:val="24"/>
                <w:szCs w:val="24"/>
                <w:highlight w:val="none"/>
                <w:u w:val="single"/>
                <w:lang w:val="en-US" w:eastAsia="zh-CN" w:bidi="ar"/>
              </w:rPr>
              <w:t xml:space="preserve">1.整机重量 </w:t>
            </w:r>
            <w:r>
              <w:rPr>
                <w:rFonts w:hint="eastAsia" w:ascii="宋体" w:hAnsi="宋体" w:eastAsia="宋体" w:cs="宋体"/>
                <w:b/>
                <w:bCs/>
                <w:i/>
                <w:iCs/>
                <w:color w:val="auto"/>
                <w:sz w:val="24"/>
                <w:szCs w:val="24"/>
                <w:highlight w:val="none"/>
                <w:u w:val="single"/>
                <w:lang w:val="en-US" w:eastAsia="zh-CN" w:bidi="ar"/>
              </w:rPr>
              <w:t xml:space="preserve">≤</w:t>
            </w:r>
            <w:r>
              <w:rPr>
                <w:rFonts w:hint="eastAsia" w:ascii="宋体" w:hAnsi="宋体" w:eastAsia="宋体" w:cs="宋体"/>
                <w:i/>
                <w:iCs/>
                <w:color w:val="auto"/>
                <w:sz w:val="24"/>
                <w:szCs w:val="24"/>
                <w:highlight w:val="none"/>
                <w:u w:val="single"/>
                <w:lang w:val="en-US" w:eastAsia="zh-CN" w:bidi="ar"/>
              </w:rPr>
              <w:t xml:space="preserve"> 40kg；</w:t>
            </w:r>
            <w:r>
              <w:rPr>
                <w:rFonts w:hint="eastAsia" w:ascii="宋体" w:hAnsi="宋体" w:eastAsia="宋体" w:cs="宋体"/>
                <w:i/>
                <w:iCs/>
                <w:color w:val="auto"/>
                <w:sz w:val="24"/>
                <w:szCs w:val="24"/>
                <w:highlight w:val="none"/>
                <w:u w:val="single"/>
                <w:lang w:val="en-US" w:eastAsia="zh-CN" w:bidi="ar"/>
              </w:rPr>
              <w:br/>
            </w:r>
            <w:r>
              <w:rPr>
                <w:rFonts w:hint="eastAsia" w:ascii="宋体" w:hAnsi="宋体" w:eastAsia="宋体" w:cs="宋体"/>
                <w:i/>
                <w:iCs/>
                <w:color w:val="auto"/>
                <w:sz w:val="24"/>
                <w:szCs w:val="24"/>
                <w:highlight w:val="none"/>
                <w:u w:val="single"/>
                <w:lang w:val="en-US" w:eastAsia="zh-CN" w:bidi="ar"/>
              </w:rPr>
              <w:t xml:space="preserve">2.整机最大尺寸 </w:t>
            </w:r>
            <w:r>
              <w:rPr>
                <w:rFonts w:hint="eastAsia" w:ascii="宋体" w:hAnsi="宋体" w:eastAsia="宋体" w:cs="宋体"/>
                <w:b/>
                <w:bCs/>
                <w:i/>
                <w:iCs/>
                <w:color w:val="auto"/>
                <w:sz w:val="24"/>
                <w:szCs w:val="24"/>
                <w:highlight w:val="none"/>
                <w:u w:val="single"/>
                <w:lang w:val="en-US" w:eastAsia="zh-CN" w:bidi="ar"/>
              </w:rPr>
              <w:t xml:space="preserve">≤</w:t>
            </w:r>
            <w:r>
              <w:rPr>
                <w:rFonts w:hint="eastAsia" w:ascii="宋体" w:hAnsi="宋体" w:eastAsia="宋体" w:cs="宋体"/>
                <w:i/>
                <w:iCs/>
                <w:color w:val="auto"/>
                <w:sz w:val="24"/>
                <w:szCs w:val="24"/>
                <w:highlight w:val="none"/>
                <w:u w:val="single"/>
                <w:lang w:val="en-US" w:eastAsia="zh-CN" w:bidi="ar"/>
              </w:rPr>
              <w:t xml:space="preserve"> 长550mm，宽450mm，高1200 mm；</w:t>
            </w:r>
            <w:r>
              <w:rPr>
                <w:rFonts w:hint="eastAsia" w:ascii="宋体" w:hAnsi="宋体" w:eastAsia="宋体" w:cs="宋体"/>
                <w:i/>
                <w:iCs/>
                <w:color w:val="auto"/>
                <w:sz w:val="24"/>
                <w:szCs w:val="24"/>
                <w:highlight w:val="none"/>
                <w:u w:val="single"/>
                <w:lang w:val="en-US" w:eastAsia="zh-CN" w:bidi="ar"/>
              </w:rPr>
              <w:br/>
            </w:r>
            <w:r>
              <w:rPr>
                <w:rFonts w:hint="eastAsia" w:ascii="宋体" w:hAnsi="宋体" w:eastAsia="宋体" w:cs="宋体"/>
                <w:i/>
                <w:iCs/>
                <w:color w:val="auto"/>
                <w:sz w:val="24"/>
                <w:szCs w:val="24"/>
                <w:highlight w:val="none"/>
                <w:u w:val="single"/>
                <w:lang w:val="en-US" w:eastAsia="zh-CN" w:bidi="ar"/>
              </w:rPr>
              <w:t xml:space="preserve">3.底盘收纳尺寸 ≥ 长600mm，宽550mm，高400 mm；</w:t>
            </w:r>
            <w:r>
              <w:rPr>
                <w:rFonts w:hint="eastAsia" w:ascii="宋体" w:hAnsi="宋体" w:eastAsia="宋体" w:cs="宋体"/>
                <w:i/>
                <w:iCs/>
                <w:color w:val="auto"/>
                <w:sz w:val="24"/>
                <w:szCs w:val="24"/>
                <w:highlight w:val="none"/>
                <w:u w:val="single"/>
                <w:lang w:val="en-US" w:eastAsia="zh-CN" w:bidi="ar"/>
              </w:rPr>
              <w:br/>
            </w:r>
            <w:r>
              <w:rPr>
                <w:rFonts w:hint="eastAsia" w:ascii="宋体" w:hAnsi="宋体" w:eastAsia="宋体" w:cs="宋体"/>
                <w:i/>
                <w:iCs/>
                <w:color w:val="auto"/>
                <w:sz w:val="24"/>
                <w:szCs w:val="24"/>
                <w:highlight w:val="none"/>
                <w:u w:val="single"/>
                <w:lang w:val="en-US" w:eastAsia="zh-CN" w:bidi="ar"/>
              </w:rPr>
              <w:t xml:space="preserve">4.底盘收纳重量 ≥ 55 kg；</w:t>
            </w:r>
            <w:r>
              <w:rPr>
                <w:rFonts w:hint="eastAsia" w:ascii="宋体" w:hAnsi="宋体" w:eastAsia="宋体" w:cs="宋体"/>
                <w:i/>
                <w:iCs/>
                <w:color w:val="auto"/>
                <w:sz w:val="24"/>
                <w:szCs w:val="24"/>
                <w:highlight w:val="none"/>
                <w:u w:val="single"/>
                <w:lang w:val="en-US" w:eastAsia="zh-CN" w:bidi="ar"/>
              </w:rPr>
              <w:br/>
            </w:r>
            <w:r>
              <w:rPr>
                <w:rFonts w:hint="eastAsia" w:ascii="宋体" w:hAnsi="宋体" w:eastAsia="宋体" w:cs="宋体"/>
                <w:i/>
                <w:iCs/>
                <w:color w:val="auto"/>
                <w:sz w:val="24"/>
                <w:szCs w:val="24"/>
                <w:highlight w:val="none"/>
                <w:u w:val="single"/>
                <w:lang w:val="en-US" w:eastAsia="zh-CN" w:bidi="ar"/>
              </w:rPr>
              <w:t xml:space="preserve">5.测头收纳尺寸 ≥ 长</w:t>
            </w:r>
            <w:r>
              <w:rPr>
                <w:rFonts w:hint="eastAsia" w:ascii="宋体" w:hAnsi="宋体" w:eastAsia="宋体" w:cs="宋体"/>
                <w:i/>
                <w:iCs/>
                <w:color w:val="000000"/>
                <w:sz w:val="24"/>
                <w:szCs w:val="24"/>
                <w:highlight w:val="none"/>
                <w:u w:val="single"/>
                <w:lang w:val="en-US" w:eastAsia="zh-CN" w:bidi="ar"/>
              </w:rPr>
              <w:t xml:space="preserve">700mm，宽200mm，高120 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6.测头收纳重量≥  4.5 kg；</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7.推荐测量距离 ≥ 1.5 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8.测量效率≥  4个测量项/分；</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9.越障能力 ≥ 30mm；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10.爬坡角度≥8°；</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11.越沟宽度:≥100mm；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b w:val="0"/>
                <w:bCs w:val="0"/>
                <w:i w:val="0"/>
                <w:iCs w:val="0"/>
                <w:color w:val="ff0000"/>
                <w:sz w:val="24"/>
                <w:szCs w:val="24"/>
                <w:highlight w:val="none"/>
                <w:u w:val="none"/>
                <w:lang w:val="en-US" w:eastAsia="zh-CN" w:bidi="ar"/>
              </w:rPr>
              <w:t xml:space="preserve">▲12.机器人需具备全向障碍物检测及自动急停能力，停障距离（从机身边界算起）≤100mm；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13.充电时间 ≤5h；</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14.额定功率 ≥ 1.8 kw；</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15.续航时间≥  9 h；</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val="0"/>
                <w:iCs w:val="0"/>
                <w:color w:val="ff0000"/>
                <w:sz w:val="24"/>
                <w:szCs w:val="24"/>
                <w:highlight w:val="none"/>
                <w:u w:val="none"/>
                <w:lang w:val="en-US" w:eastAsia="zh-CN" w:bidi="ar"/>
              </w:rPr>
              <w:t xml:space="preserve">▲16.驱动方式 ：伺服电机四驱全向；</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17.单块扫描区域点云数量密度 ≥ 50万；</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18.支持测量项 平整度，垂直度，水平度，阴阳角方正度， 房屋净高，门窗尺寸；</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b w:val="0"/>
                <w:bCs w:val="0"/>
                <w:i w:val="0"/>
                <w:iCs w:val="0"/>
                <w:color w:val="ff0000"/>
                <w:sz w:val="24"/>
                <w:szCs w:val="24"/>
                <w:highlight w:val="none"/>
                <w:u w:val="none"/>
                <w:lang w:val="en-US" w:eastAsia="zh-CN" w:bidi="ar"/>
              </w:rPr>
              <w:t xml:space="preserve">▲19.支持测量结果实时输出、一键生成报表；</w:t>
            </w:r>
            <w:r>
              <w:rPr>
                <w:rFonts w:hint="eastAsia" w:ascii="宋体" w:hAnsi="宋体" w:eastAsia="宋体" w:cs="宋体"/>
                <w:b w:val="0"/>
                <w:bCs w:val="0"/>
                <w:i w:val="0"/>
                <w:iCs w:val="0"/>
                <w:color w:val="ff0000"/>
                <w:sz w:val="24"/>
                <w:szCs w:val="24"/>
                <w:highlight w:val="none"/>
                <w:u w:val="none"/>
                <w:lang w:val="en-US" w:eastAsia="zh-CN" w:bidi="ar"/>
              </w:rPr>
              <w:br/>
            </w:r>
            <w:r>
              <w:rPr>
                <w:rFonts w:hint="eastAsia" w:ascii="宋体" w:hAnsi="宋体" w:eastAsia="宋体" w:cs="宋体"/>
                <w:b w:val="0"/>
                <w:bCs w:val="0"/>
                <w:i w:val="0"/>
                <w:iCs w:val="0"/>
                <w:color w:val="ff0000"/>
                <w:sz w:val="24"/>
                <w:szCs w:val="24"/>
                <w:highlight w:val="none"/>
                <w:u w:val="none"/>
                <w:lang w:val="en-US" w:eastAsia="zh-CN" w:bidi="ar"/>
              </w:rPr>
              <w:t xml:space="preserve">▲20.支持雷达跑自建图、平板端自建图生成测量工程，支持基于楼、栋、层、房间等维度的工程创建功能；</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21.点云精度 ≤ 0.1mm；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22.支持全地图设备自动导航行走、静态避障、动态避障等系列功能，支持人体识别；</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val="0"/>
                <w:iCs w:val="0"/>
                <w:color w:val="0000ff"/>
                <w:sz w:val="24"/>
                <w:szCs w:val="24"/>
                <w:highlight w:val="none"/>
                <w:u w:val="none"/>
                <w:lang w:val="en-US" w:eastAsia="zh-CN" w:bidi="ar"/>
              </w:rPr>
              <w:t xml:space="preserve">★23.项目任务管理：支持施工项目户型图管理、标准地图库管理、站点类型管理等；用于维护测量作业的任务，主要包含:创建任务、删除任务、修改任务、查找任务、任务复刻等功能（提供功能演示视频）</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jc w:val="cente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地库喷涂机器人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iCs/>
                <w:color w:val="000000"/>
                <w:sz w:val="24"/>
                <w:szCs w:val="24"/>
                <w:highlight w:val="none"/>
                <w:u w:val="single"/>
                <w:lang w:val="en-US" w:eastAsia="zh-CN" w:bidi="ar"/>
              </w:rPr>
              <w:t xml:space="preserve">地库喷涂机器人应用于地库,写字楼,商场等公建类的墙面、天花板腻子喷涂、腻子打磨、乳胶漆喷涂作业。多项工艺施工功能的机器人本体不变，通过更换执行机构来实现功能的切换，且不同功能的操作也可通过平板一键切换的按钮，进行自如切换。</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1.整机重量 ≤ 700kg；</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2.整机尺寸≤ 长1100mm，宽850mm，高1700 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3.施工高度≥  4.5m；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4.越障高度≥  30mm；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5.爬坡角度≥  8°；</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6.料筒容量≥  56 L；</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7.续航时间≥  6 h；</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8.工作温度：0-40℃；</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9.充电时间 ≤ 5h；</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10.越沟宽度≥100mm；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b w:val="0"/>
                <w:bCs w:val="0"/>
                <w:i w:val="0"/>
                <w:iCs w:val="0"/>
                <w:color w:val="ff0000"/>
                <w:sz w:val="24"/>
                <w:szCs w:val="24"/>
                <w:highlight w:val="none"/>
                <w:u w:val="none"/>
                <w:lang w:val="en-US" w:eastAsia="zh-CN" w:bidi="ar"/>
              </w:rPr>
              <w:t xml:space="preserve">▲11.支持天花打磨单次宽度 ≥ 2000mm；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12.完成面平整度：2m内误差≤3mm；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13.机械臂有效负载 ≥ 15kg；</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ff"/>
                <w:sz w:val="24"/>
                <w:szCs w:val="24"/>
                <w:highlight w:val="none"/>
                <w:u w:val="none"/>
                <w:lang w:val="en-US" w:eastAsia="zh-CN" w:bidi="ar"/>
              </w:rPr>
              <w:t xml:space="preserve">★14.施工工艺：支持施工工艺 ≥ 4种（打磨/喷漆/喷涂腻子/喷刮腻子）（提供功能演示视频）；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ff"/>
                <w:sz w:val="24"/>
                <w:szCs w:val="24"/>
                <w:highlight w:val="none"/>
                <w:u w:val="none"/>
                <w:lang w:val="en-US" w:eastAsia="zh-CN" w:bidi="ar"/>
              </w:rPr>
              <w:t xml:space="preserve">★15.多轴机械臂灵活执行结构：含有多轴机械臂灵活执行结构，轴数量 ≥6轴（提供功能演示视频）</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iCs/>
                <w:color w:val="000000"/>
                <w:sz w:val="24"/>
                <w:szCs w:val="24"/>
                <w:highlight w:val="none"/>
                <w:u w:val="single"/>
                <w:lang w:val="en-US" w:eastAsia="zh-CN" w:bidi="ar"/>
              </w:rPr>
              <w:t xml:space="preserve">16.防护等级:不低于IP54</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17.工作环境温度:0～45℃</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18.工作环境湿度:25～80%RH</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19.限位开关，机器人内置若干限位开关，用以限制伺服电机运动极限位置，保护机器人运动部件机器人</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val="0"/>
                <w:iCs w:val="0"/>
                <w:color w:val="0000ff"/>
                <w:sz w:val="24"/>
                <w:szCs w:val="24"/>
                <w:highlight w:val="none"/>
                <w:u w:val="none"/>
                <w:lang w:val="en-US" w:eastAsia="zh-CN" w:bidi="ar"/>
              </w:rPr>
              <w:t xml:space="preserve">★20.状态指示灯：具有状态指示灯，用以显示当前机器人工作状态:状态异常时(机械臂伺服异常等 )会有警报提醒（提供功能演示视频）</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ff"/>
                <w:sz w:val="24"/>
                <w:szCs w:val="24"/>
                <w:highlight w:val="none"/>
                <w:u w:val="none"/>
                <w:lang w:val="en-US" w:eastAsia="zh-CN" w:bidi="ar"/>
              </w:rPr>
              <w:t xml:space="preserve">★21.低电量报警：电池电量低于20%APP预警，低于15%时会有报警提示功能（提供功能演示视频）；</w:t>
            </w:r>
            <w:r>
              <w:rPr>
                <w:rFonts w:hint="eastAsia" w:ascii="宋体" w:hAnsi="宋体" w:eastAsia="宋体" w:cs="宋体"/>
                <w:i w:val="0"/>
                <w:iCs w:val="0"/>
                <w:color w:val="0000ff"/>
                <w:sz w:val="24"/>
                <w:szCs w:val="24"/>
                <w:highlight w:val="none"/>
                <w:u w:val="none"/>
                <w:lang w:val="en-US" w:eastAsia="zh-CN" w:bidi="ar"/>
              </w:rPr>
              <w:br/>
            </w:r>
            <w:r>
              <w:rPr>
                <w:rFonts w:hint="eastAsia" w:ascii="宋体" w:hAnsi="宋体" w:eastAsia="宋体" w:cs="宋体"/>
                <w:i w:val="0"/>
                <w:iCs w:val="0"/>
                <w:color w:val="0000ff"/>
                <w:sz w:val="24"/>
                <w:szCs w:val="24"/>
                <w:highlight w:val="none"/>
                <w:u w:val="none"/>
                <w:lang w:val="en-US" w:eastAsia="zh-CN" w:bidi="ar"/>
              </w:rPr>
              <w:t xml:space="preserve">★22.防碰撞检测：机器人内置防碰撞激光雷达和防撞条，避免机器人与作业人员或周围环境造成碰撞风险（提供功能演示视频）；</w:t>
            </w:r>
            <w:r>
              <w:rPr>
                <w:rFonts w:hint="eastAsia" w:ascii="宋体" w:hAnsi="宋体" w:eastAsia="宋体" w:cs="宋体"/>
                <w:i w:val="0"/>
                <w:iCs w:val="0"/>
                <w:color w:val="0000ff"/>
                <w:sz w:val="24"/>
                <w:szCs w:val="24"/>
                <w:highlight w:val="none"/>
                <w:u w:val="none"/>
                <w:lang w:val="en-US" w:eastAsia="zh-CN" w:bidi="ar"/>
              </w:rPr>
              <w:br/>
            </w:r>
            <w:r>
              <w:rPr>
                <w:rFonts w:hint="eastAsia" w:ascii="宋体" w:hAnsi="宋体" w:eastAsia="宋体" w:cs="宋体"/>
                <w:i w:val="0"/>
                <w:iCs w:val="0"/>
                <w:color w:val="0000ff"/>
                <w:sz w:val="24"/>
                <w:szCs w:val="24"/>
                <w:highlight w:val="none"/>
                <w:u w:val="none"/>
                <w:lang w:val="en-US" w:eastAsia="zh-CN" w:bidi="ar"/>
              </w:rPr>
              <w:t xml:space="preserve">★23.涂料余量检测：机器人内置传感器，实时检测涂料余量，涂料不足时会有报警提示功能（提供功能演示视频）。</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家装喷涂机器人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iCs/>
                <w:color w:val="000000"/>
                <w:sz w:val="24"/>
                <w:szCs w:val="24"/>
                <w:highlight w:val="none"/>
                <w:u w:val="single"/>
                <w:lang w:val="en-US" w:eastAsia="zh-CN" w:bidi="ar"/>
              </w:rPr>
              <w:t xml:space="preserve">家装喷涂机器人普遍应用于住宅、公寓、安置房等家装类的墙面、天花板的腻子喷涂、腻子打磨和乳胶漆喷涂作业。多项工艺施工功能的机器人本体不变，通过更换执行机构来实现功能的切换，且不同功能的操作也可通过平板一键切换的按钮，进行自如切换。</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1.整机重量 ≤ 500kg；</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2.整机尺寸≤ 长850mm，宽700mm，高1700 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3.施工高度</w:t>
            </w:r>
            <w:r>
              <w:rPr>
                <w:rFonts w:hint="eastAsia" w:ascii="宋体" w:hAnsi="宋体" w:eastAsia="宋体" w:cs="宋体"/>
                <w:i/>
                <w:iCs/>
                <w:color w:val="auto"/>
                <w:sz w:val="24"/>
                <w:szCs w:val="24"/>
                <w:highlight w:val="none"/>
                <w:u w:val="single"/>
                <w:lang w:val="en-US" w:eastAsia="zh-CN" w:bidi="ar"/>
              </w:rPr>
              <w:t xml:space="preserve">≥  3.3 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4.越障高度（正面方向）</w:t>
            </w:r>
            <w:r>
              <w:rPr>
                <w:rFonts w:hint="eastAsia" w:ascii="宋体" w:hAnsi="宋体" w:eastAsia="宋体" w:cs="宋体"/>
                <w:i/>
                <w:iCs/>
                <w:color w:val="auto"/>
                <w:sz w:val="24"/>
                <w:szCs w:val="24"/>
                <w:highlight w:val="none"/>
                <w:u w:val="single"/>
                <w:lang w:val="en-US"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  30mm；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5.爬坡角度</w:t>
            </w:r>
            <w:r>
              <w:rPr>
                <w:rFonts w:hint="eastAsia" w:ascii="宋体" w:hAnsi="宋体" w:eastAsia="宋体" w:cs="宋体"/>
                <w:i/>
                <w:iCs/>
                <w:color w:val="auto"/>
                <w:sz w:val="24"/>
                <w:szCs w:val="24"/>
                <w:highlight w:val="none"/>
                <w:u w:val="single"/>
                <w:lang w:val="en-US"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 8°；</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6.越沟宽度≥100mm；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7.料筒容量 ≥ 20 L；</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8.续航时间≥  6 h；</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9.自动导航重复定位精度 ± 5 cm；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10.完成面平整度：2m内误差≤3mm；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11.防护等级:不低于IP54</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12.工作环境温度:0～45℃</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13.工作环境湿度:25～80%RH</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14.支持电池快换；</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15.充电时间 ≤ 5h；</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val="0"/>
                <w:iCs w:val="0"/>
                <w:color w:val="0000ff"/>
                <w:sz w:val="24"/>
                <w:szCs w:val="24"/>
                <w:highlight w:val="none"/>
                <w:u w:val="none"/>
                <w:lang w:val="en-US" w:eastAsia="zh-CN" w:bidi="ar"/>
              </w:rPr>
              <w:t xml:space="preserve">★16.施工工艺：支持施工工艺 ≥ 4种（打磨/喷漆/喷涂腻子/喷刮腻子）（提供功能演示视频）</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iCs/>
                <w:color w:val="000000"/>
                <w:sz w:val="24"/>
                <w:szCs w:val="24"/>
                <w:highlight w:val="none"/>
                <w:u w:val="single"/>
                <w:lang w:val="en-US" w:eastAsia="zh-CN" w:bidi="ar"/>
              </w:rPr>
              <w:t xml:space="preserve">17.支持涵盖对立面墙面、天花、立柱、门窗、飘窗等多种常见建筑构件的施工；</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18.支持未导图情况下，立面墙面的多种施工工艺直接施工；</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ff"/>
                <w:sz w:val="24"/>
                <w:szCs w:val="24"/>
                <w:highlight w:val="none"/>
                <w:u w:val="none"/>
                <w:lang w:val="en-US" w:eastAsia="zh-CN" w:bidi="ar"/>
              </w:rPr>
              <w:t xml:space="preserve">★19.多轴机械臂灵活执行结构：含有多轴机械臂灵活执行结构，轴数量≥6轴（提供功能演示视频）；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iCs/>
                <w:color w:val="000000"/>
                <w:sz w:val="24"/>
                <w:szCs w:val="24"/>
                <w:highlight w:val="none"/>
                <w:u w:val="single"/>
                <w:lang w:val="en-US" w:eastAsia="zh-CN" w:bidi="ar"/>
              </w:rPr>
              <w:t xml:space="preserve">20.支持手动、测距、自动导航等多种施工方法；</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val="0"/>
                <w:iCs w:val="0"/>
                <w:color w:val="ff0000"/>
                <w:sz w:val="24"/>
                <w:szCs w:val="24"/>
                <w:highlight w:val="none"/>
                <w:u w:val="none"/>
                <w:lang w:val="en-US" w:eastAsia="zh-CN" w:bidi="ar"/>
              </w:rPr>
              <w:t xml:space="preserve">▲21.自主导航、定位：机器人内置激光雷达，可在室内环境下完成自主导航移动和精确定位；</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22.限位开关，机器人内置若干限位开关，用以限制电机运动极限位置，保护机器人运动部件机器人；</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ff"/>
                <w:sz w:val="24"/>
                <w:szCs w:val="24"/>
                <w:highlight w:val="none"/>
                <w:u w:val="none"/>
                <w:lang w:val="en-US" w:eastAsia="zh-CN" w:bidi="ar"/>
              </w:rPr>
              <w:t xml:space="preserve">★23.状态指示灯：具有状态指示灯，用以显示当前机器人工作状态:状态异常时(机械臂伺服异常等 )会有警报提醒（提供功能演示视频）；</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ff"/>
                <w:sz w:val="24"/>
                <w:szCs w:val="24"/>
                <w:highlight w:val="none"/>
                <w:u w:val="none"/>
                <w:lang w:val="en-US" w:eastAsia="zh-CN" w:bidi="ar"/>
              </w:rPr>
              <w:t xml:space="preserve">★24.低电量报警：电池电量低于20%APP预警，低于15%时会有报警提示功能（提供功能演示视频）；</w:t>
            </w:r>
            <w:r>
              <w:rPr>
                <w:rFonts w:hint="eastAsia" w:ascii="宋体" w:hAnsi="宋体" w:eastAsia="宋体" w:cs="宋体"/>
                <w:i w:val="0"/>
                <w:iCs w:val="0"/>
                <w:color w:val="0000ff"/>
                <w:sz w:val="24"/>
                <w:szCs w:val="24"/>
                <w:highlight w:val="none"/>
                <w:u w:val="none"/>
                <w:lang w:val="en-US" w:eastAsia="zh-CN" w:bidi="ar"/>
              </w:rPr>
              <w:br/>
            </w:r>
            <w:r>
              <w:rPr>
                <w:rFonts w:hint="eastAsia" w:ascii="宋体" w:hAnsi="宋体" w:eastAsia="宋体" w:cs="宋体"/>
                <w:i w:val="0"/>
                <w:iCs w:val="0"/>
                <w:color w:val="0000ff"/>
                <w:sz w:val="24"/>
                <w:szCs w:val="24"/>
                <w:highlight w:val="none"/>
                <w:u w:val="none"/>
                <w:lang w:val="en-US" w:eastAsia="zh-CN" w:bidi="ar"/>
              </w:rPr>
              <w:t xml:space="preserve">★25.防碰撞检测：机器人内置防碰撞激光雷达和防撞条，避免机器人与作业人员或周围环境造成碰撞风险（提供功能演示视频）；</w:t>
            </w:r>
            <w:r>
              <w:rPr>
                <w:rFonts w:hint="eastAsia" w:ascii="宋体" w:hAnsi="宋体" w:eastAsia="宋体" w:cs="宋体"/>
                <w:i w:val="0"/>
                <w:iCs w:val="0"/>
                <w:color w:val="0000ff"/>
                <w:sz w:val="24"/>
                <w:szCs w:val="24"/>
                <w:highlight w:val="none"/>
                <w:u w:val="none"/>
                <w:lang w:val="en-US" w:eastAsia="zh-CN" w:bidi="ar"/>
              </w:rPr>
              <w:br/>
            </w:r>
            <w:r>
              <w:rPr>
                <w:rFonts w:hint="eastAsia" w:ascii="宋体" w:hAnsi="宋体" w:eastAsia="宋体" w:cs="宋体"/>
                <w:i w:val="0"/>
                <w:iCs w:val="0"/>
                <w:color w:val="0000ff"/>
                <w:sz w:val="24"/>
                <w:szCs w:val="24"/>
                <w:highlight w:val="none"/>
                <w:u w:val="none"/>
                <w:lang w:val="en-US" w:eastAsia="zh-CN" w:bidi="ar"/>
              </w:rPr>
              <w:t xml:space="preserve">★26.涂料余量检测：机器人内置传感器，实时检测涂料余量，涂料不足时会有报警提示功能（提供功能演示视频）；</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jc w:val="cente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地砖铺贴机器人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iCs/>
                <w:color w:val="000000"/>
                <w:sz w:val="24"/>
                <w:szCs w:val="24"/>
                <w:highlight w:val="none"/>
                <w:u w:val="single"/>
                <w:lang w:val="en-US" w:eastAsia="zh-CN" w:bidi="ar"/>
              </w:rPr>
              <w:t xml:space="preserve">1、地砖铺贴机器人是一款地面瓷砖自动铺贴机器人，具备自主导航、定位、自动作业站点规划、自动瓷砖胶铺设和自动高精度瓷砖铺贴功能，广泛用于办公建筑、商场、会展中心住宅、公寓、酒店、等场景下的瓷砖铺贴。</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2、瓷砖尺寸:长度800-1500mm，宽度600-800mm范围内均可兼容；</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3、砖缝精度:2mm±0.5mm，砖缝可设置；</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4、两转高低差:±0.5mm；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5、施工效率≥120 ㎡/天；</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6、机器人重量≤600kg；</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7、机器人外形尺寸≤1200×800×1700mm；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8、续航时间≥6h；</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9、充电时间≤3h；</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10、行走速度：0～0.7m/s；</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11、行走精度:±30mm；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12、爬坡角度：≥8°；</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13、越障高度：≥30mm；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14、越沟宽度:≥100mm；</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15、防护等级:不低于IP54；</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16、工作环境温度:0～45℃；</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17、工作环境湿度:25～80%RH；</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18、操作方式，通过平板APP操作机器人；</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19、自主导航、定位功能，机器人内置激光雷达，可在室内环境下完成自主导航移动和精确定位；</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20、自动排版功能，机器人操作APP集成地砖铺贴排版功能，可根据户型和砖型自动排版，支持用户在线修；</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b w:val="0"/>
                <w:bCs w:val="0"/>
                <w:i w:val="0"/>
                <w:iCs w:val="0"/>
                <w:color w:val="ff0000"/>
                <w:sz w:val="24"/>
                <w:szCs w:val="24"/>
                <w:highlight w:val="none"/>
                <w:u w:val="none"/>
                <w:lang w:val="en-US" w:eastAsia="zh-CN" w:bidi="ar"/>
              </w:rPr>
              <w:t xml:space="preserve">▲21、语言播报功能，作业过程中自动语音播报机器人作业状态，操作提示和安全提示；</w:t>
            </w:r>
            <w:r>
              <w:rPr>
                <w:rFonts w:hint="eastAsia" w:ascii="宋体" w:hAnsi="宋体" w:eastAsia="宋体" w:cs="宋体"/>
                <w:b w:val="0"/>
                <w:bCs w:val="0"/>
                <w:i w:val="0"/>
                <w:iCs w:val="0"/>
                <w:color w:val="ff0000"/>
                <w:sz w:val="24"/>
                <w:szCs w:val="24"/>
                <w:highlight w:val="none"/>
                <w:u w:val="none"/>
                <w:lang w:val="en-US" w:eastAsia="zh-CN" w:bidi="ar"/>
              </w:rPr>
              <w:br/>
            </w:r>
            <w:r>
              <w:rPr>
                <w:rFonts w:hint="eastAsia" w:ascii="宋体" w:hAnsi="宋体" w:eastAsia="宋体" w:cs="宋体"/>
                <w:b w:val="0"/>
                <w:bCs w:val="0"/>
                <w:i w:val="0"/>
                <w:iCs w:val="0"/>
                <w:color w:val="ff0000"/>
                <w:sz w:val="24"/>
                <w:szCs w:val="24"/>
                <w:highlight w:val="none"/>
                <w:u w:val="none"/>
                <w:lang w:val="en-US" w:eastAsia="zh-CN" w:bidi="ar"/>
              </w:rPr>
              <w:t xml:space="preserve">▲22、安全功能，机器人通过自身模型与多维传感器实时环境建模。避免机器人与作业人员或周围环境造成碰撞风险；</w:t>
            </w:r>
            <w:r>
              <w:rPr>
                <w:rFonts w:hint="eastAsia" w:ascii="宋体" w:hAnsi="宋体" w:eastAsia="宋体" w:cs="宋体"/>
                <w:i/>
                <w:iCs/>
                <w:color w:val="000000"/>
                <w:sz w:val="24"/>
                <w:szCs w:val="24"/>
                <w:highlight w:val="none"/>
                <w:u w:val="single"/>
                <w:lang w:val="en-US" w:eastAsia="zh-CN" w:bidi="ar"/>
              </w:rPr>
              <w:br/>
            </w:r>
            <w:r>
              <w:rPr>
                <w:rFonts w:hint="eastAsia" w:ascii="宋体" w:hAnsi="宋体" w:eastAsia="宋体" w:cs="宋体"/>
                <w:i/>
                <w:iCs/>
                <w:color w:val="000000"/>
                <w:sz w:val="24"/>
                <w:szCs w:val="24"/>
                <w:highlight w:val="none"/>
                <w:u w:val="single"/>
                <w:lang w:val="en-US" w:eastAsia="zh-CN" w:bidi="ar"/>
              </w:rPr>
              <w:t xml:space="preserve">23、力位混合铺贴，通过力位混合控制的方式确保铺贴的质量，降低空鼓率。</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jc w:val="cente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RTK （基站）</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1、通道与信号：具备强大的多星多频信号接收与播发能力，能够稳定接收和处理BDS、GPS、GLONASS、Galileo全系统全频点信号，至少涵盖 BDS B1I/B2I/B3I、GPS L1/L2/L5、GLONASS L1/L2、Galileo E1/E5a 等常用开放服务信号，兼容现行及规划中的 GNSS 星座信号。</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2、定位性能：RTK 定位输出频率≥5Hz，初始化时间≤30 秒。</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3、测量精度：</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①静态测量精度：平面 ±(2.5mm + 0.5×10⁻⁶D)，高程 ±(5mm + 0.5×10⁻⁶D)；</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②动态测量精度：平面 ±(8mm + 1×10⁻⁶D)，高程 ±(15mm + 1×10⁻⁶D)；</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（注：D 为基线长度，单位：m）</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4、通信功能：支持 Wi-Fi 接入，可通过 Wi-Fi 实现差分数据的播发与接收；具备 Wi-Fi 热点功能，支持智能终端接入并完成设备参数配置；通信协议符合行业通用标准，保障数据传输稳定性。</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5、数据与网络：静态观测数据输出格式须支持标准 RINEX 3.0x；须支持通过 NTRIP 协议接入网络差分数据源；差分数据输入输出须支持 RTCM 3.2 及以上标准协议，兼容常用数据交换格式。</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6、扩展接口：须提供 UART 等标准物理接口及必要的扩展接口，具备与外部传感器进行数据通信及集成的能力，接口协议公开可兼容。</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7、管理后台：内置 Web UI 管理后台或等效功能管理系统，支持通过 Wi-Fi 或 USB 模式访问，可实时监控主机运行状态、自由配置各项工作参数，操作界面简洁易用。</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8、防护等级：设备防护等级不低于 IP67，具备防尘、防雨淋、防短暂浸泡能力，适应恶劣施工现场环境。</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9、电池续航：内置高性能锂电池，在常温 25℃、基站内置电台模式下连续作业续航≥8 小时；支持常用充电协议，保障续航稳定性。</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10、电台功能：应具备良好的兼容性，能够与市场常见品牌 RTK 设备互联互通；支持网络路由与电台中继功能，可将接收到的网络差分信号转换为电台信号转发，亦可对接收到的电台信号进行中继放大；电台工作频率符合国家无线电管理相关标准。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iCs/>
                <w:color w:val="000000"/>
                <w:sz w:val="24"/>
                <w:szCs w:val="24"/>
                <w:highlight w:val="none"/>
                <w:u w:val="single"/>
                <w:lang w:val="en-US" w:eastAsia="zh-CN" w:bidi="ar"/>
              </w:rPr>
              <w:t xml:space="preserve">11、接口配置：至少配备 TYPE-C 接口（支持充电、数据传输）、电台天线接口，满足基础使用需求；接口规格符合行业通用标准，便于配件替换。</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RTK （移动站）</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1.卫星接收性能：具备强大的多星多频信号接收能力，能够并行接收和处理BDS、GPS、GLONASS、Galileo全系统全频点信号，至少涵盖 BDS B1I/B2I/B3I、GPS L1/L2/L5、GLONASS L1/L2、Galileo E1/E5a 等常用开放服务信号；具备全星座接收技术；采用载波相位跟踪等精密测量技术，具备在复杂环境（如城市峡谷、林下）下保持稳定跟踪和高精度定位的能力。</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2.定位性能：定位输出频率 1Hz～20Hz；初始化时间＜10 秒；初始化可靠性＞99.9%。</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3.测量精度：</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①静态测量精度：平面 ±（2.5mm+0.5×10⁻⁶D）、高程 ±（5mm+0.5×10⁻⁶D）（D 为测量基线长度，单位：m）；</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②动态测量精度：平面 ±（8mm+1×10⁻⁶D）、高程 ±（15mm+1×10⁻⁶D）（D 为测量基线长度，单位：m）。</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4、无线通信功能：支持 WIFI 接入，可通过 WIFI 实现差分数据播发与接收；内置收发一体电台，工作频率 410-470MHz（符合国家无线电管理规定），需与市场常规 RTK 基站设备兼容互通，支持电台中继功能（可转发接收的电台信号供其他设备使用）；支持 NFC 无线通信技术，与配备 NFC 模块的手簿触碰即可自动完成蓝牙配对；具备 WIFI 热点功能，智能终端可接入并个性化配置接收机功能。</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5、数据格式与网络模式：</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①静态数据格式：支持 Rinex 格式及其他行业常用静态数据格式；</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②差分数据格式：支持 RTCM3.0、RTCM3.2 及以上版本输入与输出；</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③GPS 输出数据格式：支持 NMEA 0183、二进制码，及 PJK 平面坐标或其他行业常用平面坐标格式；；</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④网络模式：支持 VRS、FKP、MAC，兼容 NTRIP 协议。</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6、惯导测量功能：内置 IMU 惯性测量传感器，支持惯导倾斜测量，可根据对中杆倾斜方向和角度自动校正坐标，倾斜角度适配范围 0°～60°，保障倾斜状态下的测量精度。</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7、系统与管理功能：主机自带操作系统；内置 Web UI 管理后台或等效功能管理系统，支持通过 WIFI 和 USB 模式访问，可实时监控主机状态并自由配置参数；具备温度控制功能，确保设备在极端温度环境下正常工作。</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8、语音功能：具备智能语音技术或等效状态提示功能，支持智能状态播报与操作提示，至少兼容中文、英语，可满足不同用户使用需求。</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9、防护等级：手簿防护等级不低于 IP67，具备防尘、防雨淋、防短暂浸泡性能，适配恶劣施工现场环境。</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10、电池与续航：手簿内置高性能锂电池，移动站网络模式下连续作业续航时间≥15 小时；支持快速充电技术，完整充电时间≤3.5 小时。</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11、实景放样功能：摄像头像素≥200 万，视场角≥75°，支持实景放样辅助功能，满足现场作业可视化需求。</w:t>
            </w:r>
            <w:r/>
          </w:p>
          <w:p>
            <w:pPr>
              <w:jc w:val="left"/>
              <w:keepLines w:val="0"/>
              <w:keepNext w:val="0"/>
              <w:widowControl/>
              <w:rPr>
                <w:rFonts w:hint="eastAsia" w:ascii="宋体" w:hAnsi="宋体" w:eastAsia="宋体" w:cs="宋体"/>
                <w:i w:val="0"/>
                <w:iCs w:val="0"/>
                <w:color w:val="0000ff"/>
                <w:sz w:val="24"/>
                <w:szCs w:val="24"/>
                <w:highlight w:val="none"/>
                <w:u w:val="none"/>
                <w:lang w:val="en-US" w:eastAsia="zh-CN" w:bidi="ar"/>
              </w:rPr>
              <w:suppressLineNumbers w:val="0"/>
            </w:pPr>
            <w:r>
              <w:rPr>
                <w:rFonts w:hint="eastAsia" w:ascii="宋体" w:hAnsi="宋体" w:eastAsia="宋体" w:cs="宋体"/>
                <w:i w:val="0"/>
                <w:iCs w:val="0"/>
                <w:color w:val="0000ff"/>
                <w:sz w:val="24"/>
                <w:szCs w:val="24"/>
                <w:highlight w:val="none"/>
                <w:u w:val="none"/>
                <w:lang w:val="en-US" w:eastAsia="zh-CN" w:bidi="ar"/>
              </w:rPr>
              <w:t xml:space="preserve">★12、激光测量功能:设备集成激光测距与测点功能，在典型作业环境下，其性能需满足：5米内，激光测点平面和高程精度：RMS≤5cm；10米内，激光测点平面和高程精度：RMS≤10cm。（提供功能演示视频，视频内容须清晰、完整地展示在所述距离范围内对多个不同特征的目标点进行测量的全过程，并须通过画面明确展示或语音解说等方式，验证其测量结果满足上述精度要求）。</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13、接口配置：配备 TYPE-C 接口（支持充电、磁盘数据传输）、5 芯接口（支持串口数据调试、供电）、电台天线接口，接口规格符合行业通用标准。</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14、存储功能：内置 16GB 固态存储，支持内存扩展；支持自动循环存储（存储空间不足时自动删除最早数据）；支持最高 20Hz 原始观测数据采集，提供丰富采样间隔选择，保障数据存储安全性与完整性。</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配套软件技术参数</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（一）测图软件</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1、支持直接导入水准模型文件（格式包括 .SGF、.GGF 或或其他行业常用等效格式）。</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2、支持直接导入加密参数文件（.er）及参数文件（.dc或其他行业常用等效参数文件格式）。</w:t>
            </w:r>
            <w:r/>
          </w:p>
          <w:p>
            <w:pPr>
              <w:jc w:val="left"/>
              <w:keepLines w:val="0"/>
              <w:keepNext w:val="0"/>
              <w:widowControl/>
              <w:rPr>
                <w:rFonts w:hint="eastAsia" w:ascii="宋体" w:hAnsi="宋体" w:eastAsia="宋体" w:cs="宋体"/>
                <w:i w:val="0"/>
                <w:iCs w:val="0"/>
                <w:color w:val="0000ff"/>
                <w:sz w:val="24"/>
                <w:szCs w:val="24"/>
                <w:highlight w:val="none"/>
                <w:u w:val="none"/>
                <w:lang w:val="en-US" w:eastAsia="zh-CN" w:bidi="ar"/>
              </w:rPr>
              <w:suppressLineNumbers w:val="0"/>
            </w:pPr>
            <w:r>
              <w:rPr>
                <w:rFonts w:hint="eastAsia" w:ascii="宋体" w:hAnsi="宋体" w:eastAsia="宋体" w:cs="宋体"/>
                <w:i w:val="0"/>
                <w:iCs w:val="0"/>
                <w:color w:val="0000ff"/>
                <w:sz w:val="24"/>
                <w:szCs w:val="24"/>
                <w:highlight w:val="none"/>
                <w:u w:val="none"/>
                <w:lang w:val="en-US" w:eastAsia="zh-CN" w:bidi="ar"/>
              </w:rPr>
              <w:t xml:space="preserve">★3、全流程智能测图功能：软件应集成数据采集、图形绘制、编辑与成图功能，在地物采集后能自动生成符合《国家基本比例尺地图图式》等基础制图规范的地形图文件。成果文件格式须兼容常用CAD软件（如DWG、DXF格式）（投标人须提供功能演示视频，清晰展示从野外采集到最终成图的完整流程）。</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（二）管线软件</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1、支持管线测量数据采集，实现定位、绘图与属性录入一体化，满足管线测量信息化、规范化及内外业一体化要求，提升数据采集效率。</w:t>
            </w:r>
            <w:r/>
          </w:p>
          <w:p>
            <w:pPr>
              <w:jc w:val="left"/>
              <w:keepLines w:val="0"/>
              <w:keepNext w:val="0"/>
              <w:widowControl/>
              <w:rPr>
                <w:rFonts w:hint="eastAsia" w:ascii="宋体" w:hAnsi="宋体" w:eastAsia="宋体" w:cs="宋体"/>
                <w:i w:val="0"/>
                <w:iCs w:val="0"/>
                <w:color w:val="0000ff"/>
                <w:sz w:val="24"/>
                <w:szCs w:val="24"/>
                <w:highlight w:val="none"/>
                <w:u w:val="none"/>
                <w:lang w:val="en-US" w:eastAsia="zh-CN" w:bidi="ar"/>
              </w:rPr>
              <w:suppressLineNumbers w:val="0"/>
            </w:pPr>
            <w:r>
              <w:rPr>
                <w:rFonts w:hint="eastAsia" w:ascii="宋体" w:hAnsi="宋体" w:eastAsia="宋体" w:cs="宋体"/>
                <w:i w:val="0"/>
                <w:iCs w:val="0"/>
                <w:color w:val="0000ff"/>
                <w:sz w:val="24"/>
                <w:szCs w:val="24"/>
                <w:highlight w:val="none"/>
                <w:u w:val="none"/>
                <w:lang w:val="en-US" w:eastAsia="zh-CN" w:bidi="ar"/>
              </w:rPr>
              <w:t xml:space="preserve">★2、管线数据生成及入库功能：现场采集燃气、供水等管线设施数据后，软件应能按行业通用规范，自动生成图形文件（如 DXF）及结构化的点表、线表。生成的点表、线表须为标准通用格式（如 xlsx、csv、shp），其数据结构应完整、规范，确保生成的数据可直接用于GIS 建库，或导入 GIS 软件进行浏览、查询与编辑（投标人须提供功能演示视频，清晰展示从数据采集到生成最终文件的完整流程）。</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3、支持导出多种数据格式（包括 xlsx、csv、dxf），并兼容导出格式定制需求，满足不同应用场景数据使用需求。</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4、支持与常规/常用管网 GIS 平台数据对接，可按采购人要求提供平台接口定制服务，保障系统兼容性与扩展性。</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5、采集数据时支持通过下拉列表匹配管网属性，可设置属性默认值，提升数据采集规范性与效率。</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iCs/>
                <w:color w:val="000000"/>
                <w:sz w:val="24"/>
                <w:szCs w:val="24"/>
                <w:highlight w:val="none"/>
                <w:u w:val="single"/>
                <w:lang w:val="en-US" w:eastAsia="zh-CN" w:bidi="ar"/>
              </w:rPr>
              <w:t xml:space="preserve">6、具备实时显示、全局显示及当前点回溯功能，便于现场作业操作与数据核查。</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jc w:val="center"/>
          <w:trHeight w:val="0"/>
        </w:trPr>
        <w:tc>
          <w:tcPr>
            <w:gridSpan w:val="5"/>
            <w:shd w:val="clear" w:color="auto" w:fill="auto"/>
            <w:tcW w:w="0" w:type="auto"/>
            <w:vAlign w:val="center"/>
            <w:textDirection w:val="lrTb"/>
            <w:noWrap w:val="false"/>
          </w:tcPr>
          <w:p>
            <w:pPr>
              <w:pStyle w:val="892"/>
              <w:jc w:val="both"/>
              <w:keepLines w:val="0"/>
              <w:keepNext w:val="0"/>
              <w:pageBreakBefore w:val="0"/>
              <w:spacing w:beforeAutospacing="0" w:afterAutospacing="0" w:line="320" w:lineRule="exact"/>
              <w:widowControl w:val="off"/>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 xml:space="preserve">备注:</w:t>
            </w:r>
            <w:r/>
          </w:p>
          <w:p>
            <w:pPr>
              <w:pStyle w:val="892"/>
              <w:ind w:firstLine="420"/>
              <w:jc w:val="both"/>
              <w:keepLines w:val="0"/>
              <w:keepNext w:val="0"/>
              <w:pageBreakBefore w:val="0"/>
              <w:spacing w:beforeAutospacing="0" w:afterAutospacing="0" w:line="320" w:lineRule="exact"/>
              <w:widowControl w:val="off"/>
            </w:pPr>
            <w:r>
              <w:rPr>
                <w:rFonts w:hint="eastAsia" w:ascii="宋体" w:hAnsi="宋体" w:eastAsia="宋体" w:cs="宋体"/>
                <w:color w:val="0000ff"/>
                <w:sz w:val="21"/>
                <w:szCs w:val="21"/>
                <w:highlight w:val="none"/>
                <w:lang w:val="en-US" w:eastAsia="zh-CN"/>
              </w:rPr>
              <w:t xml:space="preserve">1.</w:t>
            </w:r>
            <w:r>
              <w:rPr>
                <w:rFonts w:hint="eastAsia" w:ascii="宋体" w:hAnsi="宋体" w:eastAsia="宋体" w:cs="宋体"/>
                <w:color w:val="0000ff"/>
                <w:sz w:val="21"/>
                <w:szCs w:val="21"/>
                <w:highlight w:val="none"/>
                <w:lang w:val="en-US" w:eastAsia="zh-CN"/>
              </w:rPr>
              <w:t xml:space="preserve">对标注“▲”的技术参数，如响应出现负偏离，评审时将依据《评标标准》对应细则进行扣分。供应商须针对该部分条款提供有效证明材料，形式可包括：</w:t>
            </w:r>
            <w:r>
              <w:rPr>
                <w:rFonts w:hint="eastAsia" w:ascii="宋体" w:hAnsi="宋体" w:eastAsia="宋体" w:cs="宋体"/>
                <w:color w:val="0000ff"/>
                <w:sz w:val="21"/>
                <w:szCs w:val="21"/>
                <w:highlight w:val="none"/>
                <w:lang w:val="en-US" w:eastAsia="zh-CN"/>
              </w:rPr>
              <w:t xml:space="preserve">招标文件指定的证明文件（如有）、产品官方彩页（需注明发布日期）、原厂说明书、产品技术白皮书（须由产品研发主体出具），或承诺在中标后合同签订前提供具备相应认证资质的第三方检测机构出具的检验报告（承诺函格式自拟，相关检测费用由中标人承担）</w:t>
            </w:r>
            <w:r>
              <w:rPr>
                <w:rFonts w:hint="eastAsia" w:ascii="宋体" w:hAnsi="宋体" w:eastAsia="宋体" w:cs="宋体"/>
                <w:color w:val="0000ff"/>
                <w:sz w:val="21"/>
                <w:szCs w:val="21"/>
                <w:highlight w:val="none"/>
                <w:lang w:val="en-US" w:eastAsia="zh-CN"/>
              </w:rPr>
              <w:t xml:space="preserve">。</w:t>
            </w:r>
            <w:r>
              <w:rPr>
                <w:rFonts w:hint="eastAsia" w:ascii="宋体" w:hAnsi="宋体" w:eastAsia="宋体" w:cs="宋体"/>
                <w:color w:val="0000ff"/>
                <w:sz w:val="21"/>
                <w:szCs w:val="21"/>
                <w:highlight w:val="none"/>
                <w:lang w:val="en-US" w:eastAsia="zh-CN"/>
              </w:rPr>
            </w:r>
            <w:r/>
          </w:p>
          <w:p>
            <w:pPr>
              <w:pStyle w:val="892"/>
              <w:ind w:firstLine="420"/>
              <w:jc w:val="both"/>
              <w:keepLines w:val="0"/>
              <w:keepNext w:val="0"/>
              <w:pageBreakBefore w:val="0"/>
              <w:spacing w:beforeAutospacing="0" w:afterAutospacing="0" w:line="320" w:lineRule="exact"/>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0000ff"/>
                <w:sz w:val="21"/>
                <w:szCs w:val="21"/>
                <w:highlight w:val="none"/>
                <w:lang w:val="en-US" w:eastAsia="zh-CN"/>
              </w:rPr>
              <w:t xml:space="preserve">2.标注“★”的技术参数如响应出现负偏离，评审时将依据《评标标准》对应细则进行扣分。供应商须按招标文件规定的具体内容进行功能视频演示</w:t>
            </w:r>
            <w:r>
              <w:rPr>
                <w:rFonts w:hint="eastAsia" w:ascii="宋体" w:hAnsi="宋体" w:eastAsia="宋体" w:cs="宋体"/>
                <w:color w:val="0000ff"/>
                <w:sz w:val="21"/>
                <w:szCs w:val="21"/>
                <w:highlight w:val="none"/>
                <w:lang w:val="en-US" w:eastAsia="zh-CN"/>
              </w:rPr>
              <w:t xml:space="preserve">。</w:t>
            </w:r>
            <w:r>
              <w:rPr>
                <w:rFonts w:hint="eastAsia" w:ascii="宋体" w:hAnsi="宋体" w:eastAsia="宋体" w:cs="宋体"/>
                <w:color w:val="0000ff"/>
                <w:sz w:val="21"/>
                <w:szCs w:val="21"/>
                <w:highlight w:val="none"/>
                <w:lang w:val="en-US" w:eastAsia="zh-CN"/>
              </w:rPr>
            </w:r>
            <w:r/>
          </w:p>
        </w:tc>
      </w:tr>
    </w:tbl>
    <w:p>
      <w:pPr>
        <w:pStyle w:val="874"/>
        <w:ind w:left="0" w:firstLine="482"/>
        <w:keepLines w:val="0"/>
        <w:keepNext w:val="0"/>
        <w:pageBreakBefore w:val="0"/>
        <w:spacing w:line="480" w:lineRule="exact"/>
        <w:widowControl w:val="off"/>
        <w:rPr>
          <w:rFonts w:hint="eastAsia" w:ascii="宋体" w:hAnsi="宋体" w:eastAsia="宋体" w:cs="宋体"/>
          <w:b/>
          <w:bCs/>
          <w:i w:val="0"/>
          <w:iCs w:val="0"/>
          <w:caps w:val="0"/>
          <w:spacing w:val="0"/>
          <w:sz w:val="24"/>
          <w:szCs w:val="24"/>
          <w:highlight w:val="none"/>
        </w:rPr>
      </w:pPr>
      <w:r>
        <w:rPr>
          <w:rFonts w:hint="eastAsia" w:ascii="宋体" w:hAnsi="宋体" w:eastAsia="宋体" w:cs="宋体"/>
          <w:b/>
          <w:bCs/>
          <w:i w:val="0"/>
          <w:iCs w:val="0"/>
          <w:caps w:val="0"/>
          <w:spacing w:val="0"/>
          <w:sz w:val="24"/>
          <w:szCs w:val="24"/>
          <w:highlight w:val="none"/>
          <w:lang w:val="en-US" w:eastAsia="zh-CN"/>
        </w:rPr>
        <w:t xml:space="preserve">三</w:t>
      </w:r>
      <w:r>
        <w:rPr>
          <w:rFonts w:hint="eastAsia" w:ascii="宋体" w:hAnsi="宋体" w:eastAsia="宋体" w:cs="宋体"/>
          <w:b/>
          <w:bCs/>
          <w:i w:val="0"/>
          <w:iCs w:val="0"/>
          <w:caps w:val="0"/>
          <w:spacing w:val="0"/>
          <w:sz w:val="24"/>
          <w:szCs w:val="24"/>
          <w:highlight w:val="none"/>
        </w:rPr>
        <w:t xml:space="preserve">、技术要求响应及偏离</w:t>
      </w:r>
      <w:r/>
    </w:p>
    <w:p>
      <w:pPr>
        <w:ind w:left="0" w:firstLine="480"/>
        <w:keepLines w:val="0"/>
        <w:keepNext w:val="0"/>
        <w:pageBreakBefore w:val="0"/>
        <w:spacing w:line="440" w:lineRule="exact"/>
        <w:widowControl w:val="off"/>
        <w:rPr>
          <w:rFonts w:hint="eastAsia" w:ascii="宋体" w:hAnsi="宋体" w:eastAsia="宋体" w:cs="宋体"/>
          <w:b w:val="0"/>
          <w:bCs w:val="0"/>
          <w:i/>
          <w:iCs/>
          <w:color w:val="0000ff"/>
          <w:sz w:val="24"/>
          <w:szCs w:val="24"/>
          <w:highlight w:val="none"/>
          <w:u w:val="single"/>
          <w:lang w:val="en-US" w:eastAsia="zh-CN"/>
        </w:rPr>
      </w:pPr>
      <w:r>
        <w:rPr>
          <w:rFonts w:hint="eastAsia" w:ascii="宋体" w:hAnsi="宋体" w:eastAsia="宋体" w:cs="宋体"/>
          <w:b w:val="0"/>
          <w:bCs w:val="0"/>
          <w:i/>
          <w:iCs/>
          <w:color w:val="0000ff"/>
          <w:sz w:val="24"/>
          <w:szCs w:val="24"/>
          <w:highlight w:val="none"/>
          <w:u w:val="single"/>
          <w:lang w:val="en-US" w:eastAsia="zh-CN"/>
        </w:rPr>
        <w:t xml:space="preserve">技术参数中</w:t>
      </w:r>
      <w:r>
        <w:rPr>
          <w:rFonts w:hint="eastAsia" w:ascii="宋体" w:hAnsi="宋体" w:eastAsia="宋体" w:cs="宋体"/>
          <w:b/>
          <w:bCs/>
          <w:i/>
          <w:iCs/>
          <w:color w:val="0000ff"/>
          <w:sz w:val="24"/>
          <w:szCs w:val="24"/>
          <w:highlight w:val="none"/>
          <w:u w:val="single"/>
          <w:lang w:val="en-US" w:eastAsia="zh-CN"/>
        </w:rPr>
        <w:t xml:space="preserve">斜体且有下划线部分</w:t>
      </w:r>
      <w:r>
        <w:rPr>
          <w:rFonts w:hint="eastAsia" w:ascii="宋体" w:hAnsi="宋体" w:eastAsia="宋体" w:cs="宋体"/>
          <w:b w:val="0"/>
          <w:bCs w:val="0"/>
          <w:i/>
          <w:iCs/>
          <w:color w:val="0000ff"/>
          <w:sz w:val="24"/>
          <w:szCs w:val="24"/>
          <w:highlight w:val="none"/>
          <w:u w:val="single"/>
          <w:lang w:val="en-US" w:eastAsia="zh-CN"/>
        </w:rPr>
        <w:t xml:space="preserve">的技术参数要求为实质性要求，投标人应在《技术要求响应及偏离表》逐条列出，负偏离按无效响应处理（注意：如某项标识中包含多条技术参数或要求，则该项标识所含内容均需满足或优于招标文件要求，否则不予认可）。</w:t>
      </w:r>
      <w:r/>
    </w:p>
    <w:p>
      <w:pPr>
        <w:ind w:left="0"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注：</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eastAsia="zh-CN"/>
        </w:rPr>
        <w:t xml:space="preserve">正偏离</w:t>
      </w:r>
      <w:r>
        <w:rPr>
          <w:rFonts w:hint="eastAsia" w:ascii="宋体" w:hAnsi="宋体" w:eastAsia="宋体" w:cs="宋体"/>
          <w:b w:val="0"/>
          <w:bCs w:val="0"/>
          <w:sz w:val="24"/>
          <w:szCs w:val="24"/>
          <w:highlight w:val="none"/>
        </w:rPr>
        <w:t xml:space="preserve">”指优于招标文件要求；“负偏离”指低于招标文件要求；“符合”指满足招标文件要求。投标人应在《技术参数响应及偏离表》（格式详见第六章投标文件格式）中，对招标文件采购清单内的所有技术参数逐条明确其响应状态，即明确填写“</w:t>
      </w:r>
      <w:r>
        <w:rPr>
          <w:rFonts w:hint="eastAsia" w:ascii="宋体" w:hAnsi="宋体" w:eastAsia="宋体" w:cs="宋体"/>
          <w:b w:val="0"/>
          <w:bCs w:val="0"/>
          <w:sz w:val="24"/>
          <w:szCs w:val="24"/>
          <w:highlight w:val="none"/>
          <w:lang w:eastAsia="zh-CN"/>
        </w:rPr>
        <w:t xml:space="preserve">正偏离</w:t>
      </w:r>
      <w:r>
        <w:rPr>
          <w:rFonts w:hint="eastAsia" w:ascii="宋体" w:hAnsi="宋体" w:eastAsia="宋体" w:cs="宋体"/>
          <w:b w:val="0"/>
          <w:bCs w:val="0"/>
          <w:sz w:val="24"/>
          <w:szCs w:val="24"/>
          <w:highlight w:val="none"/>
        </w:rPr>
        <w:t xml:space="preserve">”、“负偏离”或“符合”，不得遗漏。凡未在《技术参数响应及偏离表》中声明偏离情况的技术条款，均视为“符合”。中标人须在合同履行阶段严格遵守招标文件中对应条款的约定。</w:t>
      </w:r>
      <w:r/>
    </w:p>
    <w:p>
      <w:pPr>
        <w:ind w:left="0"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对于非评分项的技术参数，投标人可选择在投标时提供证明材料，亦可于中标通知书发出后、正式签订合同前补充提供（补充材料须在合同签订前</w:t>
      </w: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个工作日内提交）。所提供的材料将作为合同履约验收的依据之一。</w:t>
      </w:r>
      <w:r/>
    </w:p>
    <w:p>
      <w:pPr>
        <w:pStyle w:val="874"/>
        <w:ind w:left="0" w:firstLine="482"/>
        <w:keepLines w:val="0"/>
        <w:keepNext w:val="0"/>
        <w:pageBreakBefore w:val="0"/>
        <w:spacing w:line="480" w:lineRule="exact"/>
        <w:widowControl w:val="off"/>
        <w:rPr>
          <w:rFonts w:hint="eastAsia" w:ascii="宋体" w:hAnsi="宋体" w:eastAsia="宋体" w:cs="宋体"/>
          <w:b/>
          <w:bCs/>
          <w:i w:val="0"/>
          <w:iCs w:val="0"/>
          <w:caps w:val="0"/>
          <w:spacing w:val="0"/>
          <w:sz w:val="24"/>
          <w:szCs w:val="24"/>
          <w:highlight w:val="none"/>
        </w:rPr>
      </w:pPr>
      <w:r>
        <w:rPr>
          <w:rFonts w:hint="eastAsia" w:ascii="宋体" w:hAnsi="宋体" w:eastAsia="宋体" w:cs="宋体"/>
          <w:b/>
          <w:bCs/>
          <w:i w:val="0"/>
          <w:iCs w:val="0"/>
          <w:caps w:val="0"/>
          <w:spacing w:val="0"/>
          <w:sz w:val="24"/>
          <w:szCs w:val="24"/>
          <w:highlight w:val="none"/>
          <w:lang w:val="en-US" w:eastAsia="zh-CN"/>
        </w:rPr>
        <w:t xml:space="preserve">四</w:t>
      </w:r>
      <w:r>
        <w:rPr>
          <w:rFonts w:hint="eastAsia" w:ascii="宋体" w:hAnsi="宋体" w:eastAsia="宋体" w:cs="宋体"/>
          <w:b/>
          <w:bCs/>
          <w:i w:val="0"/>
          <w:iCs w:val="0"/>
          <w:caps w:val="0"/>
          <w:spacing w:val="0"/>
          <w:sz w:val="24"/>
          <w:szCs w:val="24"/>
          <w:highlight w:val="none"/>
        </w:rPr>
        <w:t xml:space="preserve">、商务要求</w:t>
      </w:r>
      <w:r/>
    </w:p>
    <w:p>
      <w:pPr>
        <w:pStyle w:val="874"/>
        <w:numPr>
          <w:ilvl w:val="0"/>
          <w:numId w:val="6"/>
        </w:numPr>
        <w:ind w:left="0" w:firstLine="480"/>
        <w:keepLines w:val="0"/>
        <w:keepNext w:val="0"/>
        <w:pageBreakBefore w:val="0"/>
        <w:spacing w:line="440" w:lineRule="exact"/>
        <w:widowControl w:val="off"/>
        <w:rPr>
          <w:rFonts w:hint="eastAsia" w:ascii="宋体" w:hAnsi="宋体" w:eastAsia="宋体" w:cs="宋体"/>
          <w:b w:val="0"/>
          <w:bCs w:val="0"/>
          <w:i/>
          <w:iCs/>
          <w:caps w:val="0"/>
          <w:spacing w:val="0"/>
          <w:sz w:val="24"/>
          <w:szCs w:val="24"/>
          <w:highlight w:val="none"/>
          <w:u w:val="single"/>
        </w:rPr>
      </w:pPr>
      <w:r>
        <w:rPr>
          <w:rFonts w:hint="eastAsia" w:ascii="宋体" w:hAnsi="宋体" w:eastAsia="宋体" w:cs="宋体"/>
          <w:b w:val="0"/>
          <w:bCs w:val="0"/>
          <w:i/>
          <w:iCs/>
          <w:caps w:val="0"/>
          <w:spacing w:val="0"/>
          <w:sz w:val="24"/>
          <w:szCs w:val="24"/>
          <w:highlight w:val="none"/>
          <w:u w:val="single"/>
        </w:rPr>
        <w:t xml:space="preserve">交付时间：合同生效后</w:t>
      </w:r>
      <w:r>
        <w:rPr>
          <w:rFonts w:hint="eastAsia" w:ascii="宋体" w:hAnsi="宋体" w:eastAsia="宋体" w:cs="宋体"/>
          <w:b w:val="0"/>
          <w:bCs w:val="0"/>
          <w:i/>
          <w:iCs/>
          <w:caps w:val="0"/>
          <w:spacing w:val="0"/>
          <w:sz w:val="24"/>
          <w:szCs w:val="24"/>
          <w:highlight w:val="none"/>
          <w:u w:val="single"/>
          <w:lang w:val="en-US" w:eastAsia="zh-CN"/>
        </w:rPr>
        <w:t xml:space="preserve">90</w:t>
      </w:r>
      <w:r>
        <w:rPr>
          <w:rFonts w:hint="eastAsia" w:ascii="宋体" w:hAnsi="宋体" w:eastAsia="宋体" w:cs="宋体"/>
          <w:b w:val="0"/>
          <w:bCs w:val="0"/>
          <w:i/>
          <w:iCs/>
          <w:caps w:val="0"/>
          <w:spacing w:val="0"/>
          <w:sz w:val="24"/>
          <w:szCs w:val="24"/>
          <w:highlight w:val="none"/>
          <w:u w:val="single"/>
        </w:rPr>
        <w:t xml:space="preserve">个日历天（此期限不包括采购人验收时间），供应商应在此期限内完成全部货物的交付、安装与调试。</w:t>
      </w:r>
      <w:r/>
    </w:p>
    <w:p>
      <w:pPr>
        <w:pStyle w:val="874"/>
        <w:numPr>
          <w:ilvl w:val="0"/>
          <w:numId w:val="0"/>
        </w:numPr>
        <w:ind w:left="0" w:firstLine="480"/>
        <w:keepLines w:val="0"/>
        <w:keepNext w:val="0"/>
        <w:pageBreakBefore w:val="0"/>
        <w:spacing w:line="440" w:lineRule="exact"/>
        <w:widowControl w:val="off"/>
        <w:rPr>
          <w:rFonts w:hint="eastAsia" w:ascii="宋体" w:hAnsi="宋体" w:eastAsia="宋体" w:cs="宋体"/>
          <w:b w:val="0"/>
          <w:bCs w:val="0"/>
          <w:i/>
          <w:iCs/>
          <w:caps w:val="0"/>
          <w:spacing w:val="0"/>
          <w:sz w:val="24"/>
          <w:szCs w:val="24"/>
          <w:highlight w:val="none"/>
          <w:u w:val="single"/>
        </w:rPr>
      </w:pPr>
      <w:r>
        <w:rPr>
          <w:rFonts w:hint="eastAsia" w:ascii="宋体" w:hAnsi="宋体" w:eastAsia="宋体" w:cs="宋体"/>
          <w:b w:val="0"/>
          <w:bCs w:val="0"/>
          <w:i/>
          <w:iCs/>
          <w:caps w:val="0"/>
          <w:spacing w:val="0"/>
          <w:sz w:val="24"/>
          <w:szCs w:val="24"/>
          <w:highlight w:val="none"/>
          <w:u w:val="single"/>
          <w:lang w:val="en-US" w:eastAsia="zh-CN"/>
        </w:rPr>
        <w:t xml:space="preserve">注：</w:t>
      </w:r>
      <w:r>
        <w:rPr>
          <w:rFonts w:hint="eastAsia" w:ascii="宋体" w:hAnsi="宋体" w:eastAsia="宋体" w:cs="宋体"/>
          <w:b w:val="0"/>
          <w:bCs w:val="0"/>
          <w:i/>
          <w:iCs/>
          <w:caps w:val="0"/>
          <w:spacing w:val="0"/>
          <w:sz w:val="24"/>
          <w:szCs w:val="24"/>
          <w:highlight w:val="none"/>
          <w:u w:val="single"/>
        </w:rPr>
        <w:t xml:space="preserve">若因不可抗力或采购人场地、需求变更等非中标人原因需延期，中标人可提前10个工作日向采购人提交书面延期申请，说明延期理由及预计完成时间，经采购人书面同意后可调整交付时间，延期时间最长不超过30个日历日；因中标人自身原因导致延期的，按合同约定承担违约责任。</w:t>
      </w:r>
      <w:r/>
    </w:p>
    <w:p>
      <w:pPr>
        <w:pStyle w:val="874"/>
        <w:numPr>
          <w:ilvl w:val="0"/>
          <w:numId w:val="6"/>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交付地点：江苏省盐城技师学院采购人指定地点。</w:t>
      </w:r>
      <w:r/>
    </w:p>
    <w:p>
      <w:pPr>
        <w:pStyle w:val="874"/>
        <w:numPr>
          <w:ilvl w:val="0"/>
          <w:numId w:val="6"/>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验收：采购人依据相关规定、招标文件、投标文件及合同组织验收。若因服务质量产生争议，应由双方共同认可的具备资质的第三方检测机构进行鉴定。符合标准的，鉴定费由采购人承担；不符合标准的，鉴定费由中标人承担，且中标人须在鉴定结果出具后15个工作日内完成整改并重新申请验收。</w:t>
      </w:r>
      <w:r/>
    </w:p>
    <w:p>
      <w:pPr>
        <w:pStyle w:val="874"/>
        <w:numPr>
          <w:ilvl w:val="0"/>
          <w:numId w:val="6"/>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质量保证：所供货物及软件应为成熟、稳定的在售型号。免费质保期不少于三年，自最终验收合格之日起计算。质保期内，提供7×24小时技术支持，故障1小时内电话响应，24小时内现场到位（如需），并免费提供</w:t>
      </w:r>
      <w:r>
        <w:rPr>
          <w:rFonts w:hint="eastAsia" w:ascii="宋体" w:hAnsi="宋体" w:eastAsia="宋体" w:cs="宋体"/>
          <w:i/>
          <w:iCs/>
          <w:caps w:val="0"/>
          <w:spacing w:val="0"/>
          <w:sz w:val="24"/>
          <w:szCs w:val="24"/>
          <w:highlight w:val="none"/>
          <w:u w:val="single"/>
          <w:lang w:val="en-US" w:eastAsia="zh-CN"/>
        </w:rPr>
        <w:t xml:space="preserve">不少于三年的</w:t>
      </w:r>
      <w:r>
        <w:rPr>
          <w:rFonts w:hint="eastAsia" w:ascii="宋体" w:hAnsi="宋体" w:eastAsia="宋体" w:cs="宋体"/>
          <w:i/>
          <w:iCs/>
          <w:caps w:val="0"/>
          <w:spacing w:val="0"/>
          <w:sz w:val="24"/>
          <w:szCs w:val="24"/>
          <w:highlight w:val="none"/>
          <w:u w:val="single"/>
        </w:rPr>
        <w:t xml:space="preserve">系统升级与技术服务。质保期外，应能提供持续的技术支持与维护服务，收费标准不高于其官方公示价格或同期市场公允价格。</w:t>
      </w:r>
      <w:r/>
    </w:p>
    <w:p>
      <w:pPr>
        <w:pStyle w:val="874"/>
        <w:numPr>
          <w:ilvl w:val="0"/>
          <w:numId w:val="6"/>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付款方式：</w:t>
      </w:r>
      <w:r/>
    </w:p>
    <w:p>
      <w:pPr>
        <w:pStyle w:val="874"/>
        <w:numPr>
          <w:ilvl w:val="0"/>
          <w:numId w:val="0"/>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lang w:eastAsia="zh-CN"/>
        </w:rPr>
      </w:pPr>
      <w:r>
        <w:rPr>
          <w:rFonts w:hint="eastAsia" w:ascii="宋体" w:hAnsi="宋体" w:eastAsia="宋体" w:cs="宋体"/>
          <w:i/>
          <w:iCs/>
          <w:caps w:val="0"/>
          <w:spacing w:val="0"/>
          <w:sz w:val="24"/>
          <w:szCs w:val="24"/>
          <w:highlight w:val="none"/>
          <w:u w:val="single"/>
        </w:rPr>
        <w:t xml:space="preserve">预付款：合同签订生效并收到合规发票后10个工作日内</w:t>
      </w:r>
      <w:r>
        <w:rPr>
          <w:rFonts w:hint="eastAsia" w:ascii="宋体" w:hAnsi="宋体" w:eastAsia="宋体" w:cs="宋体"/>
          <w:i/>
          <w:iCs/>
          <w:caps w:val="0"/>
          <w:spacing w:val="0"/>
          <w:sz w:val="24"/>
          <w:szCs w:val="24"/>
          <w:highlight w:val="none"/>
          <w:u w:val="single"/>
          <w:lang w:eastAsia="zh-CN"/>
        </w:rPr>
        <w:t xml:space="preserve">，</w:t>
      </w:r>
      <w:r>
        <w:rPr>
          <w:rFonts w:hint="eastAsia" w:ascii="宋体" w:hAnsi="宋体" w:eastAsia="宋体" w:cs="宋体"/>
          <w:i/>
          <w:iCs/>
          <w:caps w:val="0"/>
          <w:spacing w:val="0"/>
          <w:sz w:val="24"/>
          <w:szCs w:val="24"/>
          <w:highlight w:val="none"/>
          <w:u w:val="single"/>
        </w:rPr>
        <w:t xml:space="preserve">支付合同总价的30%</w:t>
      </w:r>
      <w:r>
        <w:rPr>
          <w:rFonts w:hint="eastAsia" w:ascii="宋体" w:hAnsi="宋体" w:eastAsia="宋体" w:cs="宋体"/>
          <w:i/>
          <w:iCs/>
          <w:caps w:val="0"/>
          <w:spacing w:val="0"/>
          <w:sz w:val="24"/>
          <w:szCs w:val="24"/>
          <w:highlight w:val="none"/>
          <w:u w:val="single"/>
          <w:lang w:eastAsia="zh-CN"/>
        </w:rPr>
        <w:t xml:space="preserve">；</w:t>
      </w:r>
      <w:r/>
    </w:p>
    <w:p>
      <w:pPr>
        <w:pStyle w:val="874"/>
        <w:numPr>
          <w:ilvl w:val="0"/>
          <w:numId w:val="0"/>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lang w:eastAsia="zh-CN"/>
        </w:rPr>
      </w:pPr>
      <w:r>
        <w:rPr>
          <w:rFonts w:hint="eastAsia" w:ascii="宋体" w:hAnsi="宋体" w:eastAsia="宋体" w:cs="宋体"/>
          <w:i/>
          <w:iCs/>
          <w:caps w:val="0"/>
          <w:spacing w:val="0"/>
          <w:sz w:val="24"/>
          <w:szCs w:val="24"/>
          <w:highlight w:val="none"/>
          <w:u w:val="single"/>
        </w:rPr>
        <w:t xml:space="preserve">进度款：货物安装调试完毕并初步验收合格后，收到合规发票后 10个工作日内</w:t>
      </w:r>
      <w:r>
        <w:rPr>
          <w:rFonts w:hint="eastAsia" w:ascii="宋体" w:hAnsi="宋体" w:eastAsia="宋体" w:cs="宋体"/>
          <w:i/>
          <w:iCs/>
          <w:caps w:val="0"/>
          <w:spacing w:val="0"/>
          <w:sz w:val="24"/>
          <w:szCs w:val="24"/>
          <w:highlight w:val="none"/>
          <w:u w:val="single"/>
          <w:lang w:eastAsia="zh-CN"/>
        </w:rPr>
        <w:t xml:space="preserve">，</w:t>
      </w:r>
      <w:r>
        <w:rPr>
          <w:rFonts w:hint="eastAsia" w:ascii="宋体" w:hAnsi="宋体" w:eastAsia="宋体" w:cs="宋体"/>
          <w:i/>
          <w:iCs/>
          <w:caps w:val="0"/>
          <w:spacing w:val="0"/>
          <w:sz w:val="24"/>
          <w:szCs w:val="24"/>
          <w:highlight w:val="none"/>
          <w:u w:val="single"/>
        </w:rPr>
        <w:t xml:space="preserve">支付至合同总价的70%</w:t>
      </w:r>
      <w:r>
        <w:rPr>
          <w:rFonts w:hint="eastAsia" w:ascii="宋体" w:hAnsi="宋体" w:eastAsia="宋体" w:cs="宋体"/>
          <w:i/>
          <w:iCs/>
          <w:caps w:val="0"/>
          <w:spacing w:val="0"/>
          <w:sz w:val="24"/>
          <w:szCs w:val="24"/>
          <w:highlight w:val="none"/>
          <w:u w:val="single"/>
          <w:lang w:eastAsia="zh-CN"/>
        </w:rPr>
        <w:t xml:space="preserve">；</w:t>
      </w:r>
      <w:r/>
    </w:p>
    <w:p>
      <w:pPr>
        <w:pStyle w:val="874"/>
        <w:numPr>
          <w:ilvl w:val="0"/>
          <w:numId w:val="0"/>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lang w:eastAsia="zh-CN"/>
        </w:rPr>
        <w:t xml:space="preserve">尾款</w:t>
      </w:r>
      <w:r>
        <w:rPr>
          <w:rFonts w:hint="eastAsia" w:ascii="宋体" w:hAnsi="宋体" w:eastAsia="宋体" w:cs="宋体"/>
          <w:i/>
          <w:iCs/>
          <w:caps w:val="0"/>
          <w:spacing w:val="0"/>
          <w:sz w:val="24"/>
          <w:szCs w:val="24"/>
          <w:highlight w:val="none"/>
          <w:u w:val="single"/>
        </w:rPr>
        <w:t xml:space="preserve">：初步验收合格且项目</w:t>
      </w:r>
      <w:r>
        <w:rPr>
          <w:rFonts w:hint="eastAsia" w:ascii="宋体" w:hAnsi="宋体" w:eastAsia="宋体" w:cs="宋体"/>
          <w:i/>
          <w:iCs/>
          <w:caps w:val="0"/>
          <w:spacing w:val="0"/>
          <w:sz w:val="24"/>
          <w:szCs w:val="24"/>
          <w:highlight w:val="none"/>
          <w:u w:val="single"/>
          <w:lang w:eastAsia="zh-CN"/>
        </w:rPr>
        <w:t xml:space="preserve">稳定运行满6个月</w:t>
      </w:r>
      <w:r>
        <w:rPr>
          <w:rFonts w:hint="eastAsia" w:ascii="宋体" w:hAnsi="宋体" w:eastAsia="宋体" w:cs="宋体"/>
          <w:i/>
          <w:iCs/>
          <w:caps w:val="0"/>
          <w:spacing w:val="0"/>
          <w:sz w:val="24"/>
          <w:szCs w:val="24"/>
          <w:highlight w:val="none"/>
          <w:u w:val="single"/>
        </w:rPr>
        <w:t xml:space="preserve">并完成最终验收后，收到合规发票后10个工作日内</w:t>
      </w:r>
      <w:r>
        <w:rPr>
          <w:rFonts w:hint="eastAsia" w:ascii="宋体" w:hAnsi="宋体" w:eastAsia="宋体" w:cs="宋体"/>
          <w:i/>
          <w:iCs/>
          <w:caps w:val="0"/>
          <w:spacing w:val="0"/>
          <w:sz w:val="24"/>
          <w:szCs w:val="24"/>
          <w:highlight w:val="none"/>
          <w:u w:val="single"/>
          <w:lang w:val="en-US" w:eastAsia="zh-CN"/>
        </w:rPr>
        <w:t xml:space="preserve">结清余款</w:t>
      </w:r>
      <w:r>
        <w:rPr>
          <w:rFonts w:hint="eastAsia" w:ascii="宋体" w:hAnsi="宋体" w:eastAsia="宋体" w:cs="宋体"/>
          <w:i/>
          <w:iCs/>
          <w:caps w:val="0"/>
          <w:spacing w:val="0"/>
          <w:sz w:val="24"/>
          <w:szCs w:val="24"/>
          <w:highlight w:val="none"/>
          <w:u w:val="single"/>
        </w:rPr>
        <w:t xml:space="preserve">。</w:t>
      </w:r>
      <w:r/>
    </w:p>
    <w:p>
      <w:pPr>
        <w:pStyle w:val="874"/>
        <w:numPr>
          <w:ilvl w:val="0"/>
          <w:numId w:val="6"/>
        </w:numPr>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方案完整性要求：投标人应确保其投标方案（包括必要的扩展内容）能完整实现招标文件的全部功能需求。如需增补清单外内容，应在投标文件中明确列出并计入总价。未列明者，视为现有清单已完全满足需求，因缺失导致的补充及整改责任由中标人承担。</w:t>
      </w:r>
      <w:bookmarkStart w:id="203" w:name="_GoBack"/>
      <w:r/>
      <w:bookmarkEnd w:id="203"/>
      <w:r/>
      <w:r/>
    </w:p>
    <w:p>
      <w:pPr>
        <w:pStyle w:val="874"/>
        <w:ind w:left="0" w:firstLine="480"/>
        <w:keepLines w:val="0"/>
        <w:keepNext w:val="0"/>
        <w:pageBreakBefore w:val="0"/>
        <w:spacing w:line="440" w:lineRule="exact"/>
        <w:widowControl w:val="off"/>
        <w:rPr>
          <w:rFonts w:hint="eastAsia" w:ascii="宋体" w:hAnsi="宋体" w:eastAsia="宋体" w:cs="宋体"/>
          <w:i/>
          <w:iCs/>
          <w:caps w:val="0"/>
          <w:spacing w:val="0"/>
          <w:sz w:val="24"/>
          <w:szCs w:val="24"/>
          <w:highlight w:val="none"/>
          <w:u w:val="single"/>
        </w:rPr>
      </w:pPr>
      <w:r>
        <w:rPr>
          <w:rFonts w:hint="eastAsia" w:ascii="宋体" w:hAnsi="宋体" w:eastAsia="宋体" w:cs="宋体"/>
          <w:i/>
          <w:iCs/>
          <w:caps w:val="0"/>
          <w:spacing w:val="0"/>
          <w:sz w:val="24"/>
          <w:szCs w:val="24"/>
          <w:highlight w:val="none"/>
          <w:u w:val="single"/>
        </w:rPr>
        <w:t xml:space="preserve">标准与费用包干：投标人应确保其产品与实施符合国家及项目所在地的强制性标准与规范。为满足所有要求及实现项目功能所产生的一切费用（包括但不限于货物采购费、运输费、安装调试费、培训费、税费、质保期内服务费等）、风险（包括市场价格波动、政策调整等风险）及税金均已包含在投标总价内，中标后不予调整。</w:t>
      </w:r>
      <w:r/>
    </w:p>
    <w:p>
      <w:pPr>
        <w:pStyle w:val="874"/>
        <w:ind w:left="0" w:firstLine="482"/>
        <w:keepLines w:val="0"/>
        <w:keepNext w:val="0"/>
        <w:pageBreakBefore w:val="0"/>
        <w:spacing w:line="440" w:lineRule="exact"/>
        <w:widowControl w:val="off"/>
        <w:rPr>
          <w:rFonts w:hint="default" w:ascii="宋体" w:hAnsi="宋体" w:eastAsia="宋体" w:cs="宋体"/>
          <w:b/>
          <w:bCs/>
          <w:i/>
          <w:iCs/>
          <w:caps w:val="0"/>
          <w:spacing w:val="0"/>
          <w:sz w:val="24"/>
          <w:szCs w:val="24"/>
          <w:highlight w:val="none"/>
          <w:u w:val="single"/>
          <w:lang w:val="en-US" w:eastAsia="zh-CN"/>
        </w:rPr>
      </w:pPr>
      <w:r>
        <w:rPr>
          <w:rFonts w:hint="eastAsia" w:ascii="宋体" w:hAnsi="宋体" w:eastAsia="宋体" w:cs="宋体"/>
          <w:b/>
          <w:bCs/>
          <w:i/>
          <w:iCs/>
          <w:caps w:val="0"/>
          <w:spacing w:val="0"/>
          <w:sz w:val="24"/>
          <w:szCs w:val="24"/>
          <w:highlight w:val="none"/>
          <w:u w:val="single"/>
          <w:lang w:val="en-US" w:eastAsia="zh-CN"/>
        </w:rPr>
        <w:t xml:space="preserve">7.中标后七个工作日内，</w:t>
      </w:r>
      <w:r>
        <w:rPr>
          <w:rFonts w:hint="eastAsia" w:ascii="宋体" w:hAnsi="宋体" w:eastAsia="宋体" w:cs="宋体"/>
          <w:b/>
          <w:bCs/>
          <w:i/>
          <w:iCs/>
          <w:spacing w:val="-5"/>
          <w:sz w:val="24"/>
          <w:highlight w:val="none"/>
          <w:u w:val="single"/>
          <w:lang w:eastAsia="zh-CN"/>
        </w:rPr>
        <w:t xml:space="preserve">中标</w:t>
      </w:r>
      <w:r>
        <w:rPr>
          <w:rFonts w:hint="eastAsia" w:ascii="宋体" w:hAnsi="宋体" w:eastAsia="宋体" w:cs="宋体"/>
          <w:b/>
          <w:bCs/>
          <w:i/>
          <w:iCs/>
          <w:spacing w:val="-5"/>
          <w:sz w:val="24"/>
          <w:highlight w:val="none"/>
          <w:u w:val="single"/>
          <w:lang w:val="en-US" w:eastAsia="zh-CN"/>
        </w:rPr>
        <w:t xml:space="preserve">供应商</w:t>
      </w:r>
      <w:r>
        <w:rPr>
          <w:rFonts w:hint="eastAsia" w:ascii="宋体" w:hAnsi="宋体" w:eastAsia="宋体" w:cs="宋体"/>
          <w:b/>
          <w:bCs/>
          <w:i/>
          <w:iCs/>
          <w:spacing w:val="-5"/>
          <w:sz w:val="24"/>
          <w:highlight w:val="none"/>
          <w:u w:val="single"/>
          <w:lang w:eastAsia="zh-CN"/>
        </w:rPr>
        <w:t xml:space="preserve">需根据</w:t>
      </w:r>
      <w:r>
        <w:rPr>
          <w:rFonts w:hint="eastAsia" w:ascii="宋体" w:hAnsi="宋体" w:eastAsia="宋体" w:cs="宋体"/>
          <w:b/>
          <w:bCs/>
          <w:i/>
          <w:iCs/>
          <w:spacing w:val="-5"/>
          <w:sz w:val="24"/>
          <w:highlight w:val="none"/>
          <w:u w:val="single"/>
          <w:lang w:val="en-US" w:eastAsia="zh-CN"/>
        </w:rPr>
        <w:t xml:space="preserve">采购人</w:t>
      </w:r>
      <w:r>
        <w:rPr>
          <w:rFonts w:hint="eastAsia" w:ascii="宋体" w:hAnsi="宋体" w:eastAsia="宋体" w:cs="宋体"/>
          <w:b/>
          <w:bCs/>
          <w:i/>
          <w:iCs/>
          <w:spacing w:val="-5"/>
          <w:sz w:val="24"/>
          <w:highlight w:val="none"/>
          <w:u w:val="single"/>
          <w:lang w:eastAsia="zh-CN"/>
        </w:rPr>
        <w:t xml:space="preserve">要求提供相关</w:t>
      </w:r>
      <w:r>
        <w:rPr>
          <w:rFonts w:hint="eastAsia" w:ascii="宋体" w:hAnsi="宋体" w:cs="宋体"/>
          <w:b/>
          <w:bCs/>
          <w:i/>
          <w:iCs/>
          <w:spacing w:val="-5"/>
          <w:sz w:val="24"/>
          <w:highlight w:val="none"/>
          <w:u w:val="single"/>
          <w:lang w:val="en-US" w:eastAsia="zh-CN"/>
        </w:rPr>
        <w:t xml:space="preserve">软件</w:t>
      </w:r>
      <w:r>
        <w:rPr>
          <w:rFonts w:hint="eastAsia" w:ascii="宋体" w:hAnsi="宋体" w:eastAsia="宋体" w:cs="宋体"/>
          <w:b/>
          <w:bCs/>
          <w:i/>
          <w:iCs/>
          <w:spacing w:val="-5"/>
          <w:sz w:val="24"/>
          <w:highlight w:val="none"/>
          <w:u w:val="single"/>
          <w:lang w:eastAsia="zh-CN"/>
        </w:rPr>
        <w:t xml:space="preserve">功能</w:t>
      </w:r>
      <w:r>
        <w:rPr>
          <w:rFonts w:hint="eastAsia" w:ascii="宋体" w:hAnsi="宋体" w:cs="宋体"/>
          <w:b/>
          <w:bCs/>
          <w:i/>
          <w:iCs/>
          <w:spacing w:val="-5"/>
          <w:sz w:val="24"/>
          <w:highlight w:val="none"/>
          <w:u w:val="single"/>
          <w:lang w:val="en-US" w:eastAsia="zh-CN"/>
        </w:rPr>
        <w:t xml:space="preserve">测试</w:t>
      </w:r>
      <w:r>
        <w:rPr>
          <w:rFonts w:hint="eastAsia" w:ascii="宋体" w:hAnsi="宋体" w:eastAsia="宋体" w:cs="宋体"/>
          <w:b/>
          <w:bCs/>
          <w:i/>
          <w:iCs/>
          <w:spacing w:val="-5"/>
          <w:sz w:val="24"/>
          <w:highlight w:val="none"/>
          <w:u w:val="single"/>
          <w:lang w:val="en-US" w:eastAsia="zh-CN"/>
        </w:rPr>
        <w:t xml:space="preserve">和系统演示真实视频</w:t>
      </w:r>
      <w:r>
        <w:rPr>
          <w:rFonts w:hint="eastAsia" w:ascii="宋体" w:hAnsi="宋体" w:eastAsia="宋体" w:cs="宋体"/>
          <w:b/>
          <w:bCs/>
          <w:i/>
          <w:iCs/>
          <w:spacing w:val="-5"/>
          <w:sz w:val="24"/>
          <w:highlight w:val="none"/>
          <w:u w:val="single"/>
          <w:lang w:eastAsia="zh-CN"/>
        </w:rPr>
        <w:t xml:space="preserve">供</w:t>
      </w:r>
      <w:r>
        <w:rPr>
          <w:rFonts w:hint="eastAsia" w:ascii="宋体" w:hAnsi="宋体" w:eastAsia="宋体" w:cs="宋体"/>
          <w:b/>
          <w:bCs/>
          <w:i/>
          <w:iCs/>
          <w:spacing w:val="-5"/>
          <w:sz w:val="24"/>
          <w:highlight w:val="none"/>
          <w:u w:val="single"/>
          <w:lang w:val="en-US" w:eastAsia="zh-CN"/>
        </w:rPr>
        <w:t xml:space="preserve">采购人</w:t>
      </w:r>
      <w:r>
        <w:rPr>
          <w:rFonts w:hint="eastAsia" w:ascii="宋体" w:hAnsi="宋体" w:cs="宋体"/>
          <w:b/>
          <w:bCs/>
          <w:i/>
          <w:iCs/>
          <w:spacing w:val="-5"/>
          <w:sz w:val="24"/>
          <w:highlight w:val="none"/>
          <w:u w:val="single"/>
          <w:lang w:val="en-US" w:eastAsia="zh-CN"/>
        </w:rPr>
        <w:t xml:space="preserve">核查</w:t>
      </w:r>
      <w:r>
        <w:rPr>
          <w:rFonts w:hint="eastAsia" w:ascii="宋体" w:hAnsi="宋体" w:eastAsia="宋体" w:cs="宋体"/>
          <w:b/>
          <w:bCs/>
          <w:i/>
          <w:iCs/>
          <w:spacing w:val="-5"/>
          <w:sz w:val="24"/>
          <w:highlight w:val="none"/>
          <w:u w:val="single"/>
          <w:lang w:eastAsia="zh-CN"/>
        </w:rPr>
        <w:t xml:space="preserve">。</w:t>
      </w:r>
      <w:r/>
    </w:p>
    <w:p>
      <w:pPr>
        <w:pStyle w:val="874"/>
        <w:ind w:left="0" w:firstLine="482"/>
        <w:keepLines w:val="0"/>
        <w:keepNext w:val="0"/>
        <w:pageBreakBefore w:val="0"/>
        <w:spacing w:line="440" w:lineRule="exact"/>
        <w:widowControl w:val="off"/>
        <w:rPr>
          <w:rFonts w:hint="eastAsia" w:ascii="宋体" w:hAnsi="宋体" w:eastAsia="宋体" w:cs="宋体"/>
          <w:b/>
          <w:bCs w:val="0"/>
          <w:i/>
          <w:iCs w:val="0"/>
          <w:color w:val="0000ff"/>
          <w:sz w:val="24"/>
          <w:szCs w:val="24"/>
          <w:highlight w:val="none"/>
          <w:u w:val="single"/>
          <w:lang w:val="en-US" w:eastAsia="zh-CN"/>
        </w:rPr>
      </w:pPr>
      <w:r>
        <w:rPr>
          <w:rFonts w:hint="eastAsia" w:ascii="宋体" w:hAnsi="宋体" w:eastAsia="宋体" w:cs="宋体"/>
          <w:b/>
          <w:bCs w:val="0"/>
          <w:i/>
          <w:iCs w:val="0"/>
          <w:color w:val="0000ff"/>
          <w:sz w:val="24"/>
          <w:szCs w:val="24"/>
          <w:highlight w:val="none"/>
          <w:u w:val="single"/>
          <w:lang w:val="en-US" w:eastAsia="zh-CN"/>
        </w:rPr>
        <w:t xml:space="preserve">注：本招标文件中斜体且有下划线部分均为实质性要求和条件。对任何一条实质性要求条款的负偏离，都将导致其投标被视为无效。</w:t>
      </w:r>
      <w:r/>
    </w:p>
    <w:p>
      <w:pPr>
        <w:pStyle w:val="874"/>
        <w:ind w:left="0" w:firstLine="482"/>
        <w:keepLines w:val="0"/>
        <w:keepNext w:val="0"/>
        <w:pageBreakBefore w:val="0"/>
        <w:spacing w:line="480" w:lineRule="exact"/>
        <w:widowControl w:val="off"/>
        <w:rPr>
          <w:rFonts w:hint="eastAsia" w:ascii="宋体" w:hAnsi="宋体" w:eastAsia="宋体" w:cs="宋体"/>
          <w:b/>
          <w:bCs/>
          <w:i w:val="0"/>
          <w:iCs w:val="0"/>
          <w:caps w:val="0"/>
          <w:spacing w:val="0"/>
          <w:sz w:val="24"/>
          <w:szCs w:val="24"/>
          <w:highlight w:val="none"/>
        </w:rPr>
      </w:pPr>
      <w:r>
        <w:rPr>
          <w:rFonts w:hint="eastAsia" w:ascii="宋体" w:hAnsi="宋体" w:eastAsia="宋体" w:cs="宋体"/>
          <w:b/>
          <w:bCs/>
          <w:i w:val="0"/>
          <w:iCs w:val="0"/>
          <w:caps w:val="0"/>
          <w:spacing w:val="0"/>
          <w:sz w:val="24"/>
          <w:szCs w:val="24"/>
          <w:highlight w:val="none"/>
          <w:lang w:val="en-US" w:eastAsia="zh-CN"/>
        </w:rPr>
        <w:t xml:space="preserve">五</w:t>
      </w:r>
      <w:r>
        <w:rPr>
          <w:rFonts w:hint="eastAsia" w:ascii="宋体" w:hAnsi="宋体" w:eastAsia="宋体" w:cs="宋体"/>
          <w:b/>
          <w:bCs/>
          <w:i w:val="0"/>
          <w:iCs w:val="0"/>
          <w:caps w:val="0"/>
          <w:spacing w:val="0"/>
          <w:sz w:val="24"/>
          <w:szCs w:val="24"/>
          <w:highlight w:val="none"/>
        </w:rPr>
        <w:t xml:space="preserve">、现场踏勘</w:t>
      </w:r>
      <w:r/>
    </w:p>
    <w:p>
      <w:pPr>
        <w:pStyle w:val="874"/>
        <w:ind w:left="0" w:firstLine="480"/>
        <w:keepLines w:val="0"/>
        <w:keepNext w:val="0"/>
        <w:pageBreakBefore w:val="0"/>
        <w:spacing w:line="480" w:lineRule="exact"/>
        <w:widowControl w:val="off"/>
        <w:rPr>
          <w:rFonts w:hint="eastAsia" w:ascii="宋体" w:hAnsi="宋体" w:eastAsia="宋体" w:cs="宋体"/>
          <w:i w:val="0"/>
          <w:iCs w:val="0"/>
          <w:caps w:val="0"/>
          <w:spacing w:val="0"/>
          <w:sz w:val="24"/>
          <w:szCs w:val="24"/>
          <w:highlight w:val="none"/>
        </w:rPr>
      </w:pPr>
      <w:r>
        <w:rPr>
          <w:rFonts w:hint="eastAsia" w:ascii="宋体" w:hAnsi="宋体" w:eastAsia="宋体" w:cs="宋体"/>
          <w:i w:val="0"/>
          <w:iCs w:val="0"/>
          <w:caps w:val="0"/>
          <w:spacing w:val="0"/>
          <w:sz w:val="24"/>
          <w:szCs w:val="24"/>
          <w:highlight w:val="none"/>
        </w:rPr>
        <w:t xml:space="preserve">供应商应在报价前充分了解项目现场条件及所有可能影响成本和实施的因素。鼓励供应商自行进行现场踏勘。踏勘现场所发生的一切费用及人身财产安全责任，均由供应商自行承担。供应商未踏勘现场，将被视为已充分了解并接受所有现场条件与风险，成交后不得因此提出任何费用或工期索赔。 </w:t>
      </w:r>
      <w:r/>
    </w:p>
    <w:p>
      <w:pPr>
        <w:pStyle w:val="874"/>
        <w:ind w:left="0" w:firstLine="482"/>
        <w:keepLines w:val="0"/>
        <w:keepNext w:val="0"/>
        <w:pageBreakBefore w:val="0"/>
        <w:spacing w:line="480" w:lineRule="exact"/>
        <w:widowControl w:val="off"/>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六</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w:t>
      </w:r>
      <w:r>
        <w:rPr>
          <w:rFonts w:hint="eastAsia" w:ascii="宋体" w:hAnsi="宋体" w:cs="宋体"/>
          <w:b/>
          <w:bCs/>
          <w:i/>
          <w:iCs/>
          <w:sz w:val="24"/>
          <w:szCs w:val="24"/>
          <w:highlight w:val="none"/>
          <w:u w:val="single"/>
          <w:lang w:eastAsia="zh-CN"/>
        </w:rPr>
        <w:t xml:space="preserve">本项目</w:t>
      </w:r>
      <w:r>
        <w:rPr>
          <w:rFonts w:hint="eastAsia" w:ascii="宋体" w:hAnsi="宋体" w:cs="宋体"/>
          <w:b/>
          <w:bCs/>
          <w:i/>
          <w:iCs/>
          <w:sz w:val="24"/>
          <w:szCs w:val="24"/>
          <w:highlight w:val="none"/>
          <w:u w:val="single"/>
          <w:lang w:val="en-US" w:eastAsia="zh-CN"/>
        </w:rPr>
        <w:t xml:space="preserve"> </w:t>
      </w:r>
      <w:r>
        <w:rPr>
          <w:rFonts w:hint="eastAsia" w:ascii="宋体" w:hAnsi="宋体" w:cs="宋体"/>
          <w:b/>
          <w:bCs/>
          <w:i/>
          <w:iCs/>
          <w:sz w:val="24"/>
          <w:szCs w:val="24"/>
          <w:highlight w:val="none"/>
          <w:u w:val="single"/>
          <w:lang w:eastAsia="zh-CN"/>
        </w:rPr>
        <w:t xml:space="preserve">不接受</w:t>
      </w:r>
      <w:r>
        <w:rPr>
          <w:rFonts w:hint="eastAsia" w:ascii="宋体" w:hAnsi="宋体" w:cs="宋体"/>
          <w:b/>
          <w:bCs/>
          <w:i/>
          <w:iCs/>
          <w:sz w:val="24"/>
          <w:szCs w:val="24"/>
          <w:highlight w:val="none"/>
          <w:u w:val="single"/>
          <w:lang w:val="en-US" w:eastAsia="zh-CN"/>
        </w:rPr>
        <w:t xml:space="preserve"> </w:t>
      </w:r>
      <w:r>
        <w:rPr>
          <w:rFonts w:hint="eastAsia" w:ascii="宋体" w:hAnsi="宋体" w:cs="宋体"/>
          <w:b/>
          <w:bCs/>
          <w:i/>
          <w:iCs/>
          <w:sz w:val="24"/>
          <w:szCs w:val="24"/>
          <w:highlight w:val="none"/>
          <w:u w:val="single"/>
          <w:lang w:eastAsia="zh-CN"/>
        </w:rPr>
        <w:t xml:space="preserve">进口产品投标</w:t>
      </w:r>
      <w:r>
        <w:rPr>
          <w:rFonts w:hint="eastAsia" w:ascii="宋体" w:hAnsi="宋体" w:cs="宋体"/>
          <w:b/>
          <w:bCs/>
          <w:sz w:val="24"/>
          <w:szCs w:val="24"/>
          <w:highlight w:val="none"/>
          <w:lang w:eastAsia="zh-CN"/>
        </w:rPr>
        <w:t xml:space="preserve">。</w:t>
      </w:r>
      <w:r/>
    </w:p>
    <w:p>
      <w:pPr>
        <w:ind w:firstLine="480"/>
        <w:jc w:val="left"/>
        <w:spacing w:line="440" w:lineRule="exact"/>
        <w:widowControl/>
        <w:tabs>
          <w:tab w:val="left" w:pos="5250" w:leader="none"/>
        </w:tabs>
        <w:rPr>
          <w:rFonts w:hint="eastAsia" w:ascii="宋体" w:hAnsi="宋体" w:eastAsia="宋体" w:cs="宋体"/>
          <w:b/>
          <w:bCs/>
          <w:sz w:val="24"/>
          <w:szCs w:val="24"/>
          <w:highlight w:val="none"/>
          <w:u w:val="none"/>
          <w:lang w:val="en-US" w:eastAsia="zh-CN"/>
        </w:rPr>
      </w:pPr>
      <w:r>
        <w:rPr>
          <w:rFonts w:hint="eastAsia" w:ascii="宋体" w:hAnsi="宋体" w:eastAsia="宋体" w:cs="宋体"/>
          <w:b/>
          <w:bCs/>
          <w:i w:val="0"/>
          <w:iCs w:val="0"/>
          <w:caps w:val="0"/>
          <w:spacing w:val="0"/>
          <w:sz w:val="24"/>
          <w:szCs w:val="24"/>
          <w:highlight w:val="none"/>
          <w:lang w:val="en-US" w:eastAsia="zh-CN"/>
        </w:rPr>
        <w:t xml:space="preserve">七</w:t>
      </w:r>
      <w:r>
        <w:rPr>
          <w:rFonts w:hint="eastAsia" w:ascii="宋体" w:hAnsi="宋体" w:eastAsia="宋体" w:cs="宋体"/>
          <w:b/>
          <w:bCs/>
          <w:i w:val="0"/>
          <w:iCs w:val="0"/>
          <w:caps w:val="0"/>
          <w:spacing w:val="0"/>
          <w:sz w:val="24"/>
          <w:szCs w:val="24"/>
          <w:highlight w:val="none"/>
        </w:rPr>
        <w:t xml:space="preserve">、</w:t>
      </w:r>
      <w:r>
        <w:rPr>
          <w:rFonts w:hint="eastAsia" w:ascii="宋体" w:hAnsi="宋体" w:eastAsia="宋体" w:cs="宋体"/>
          <w:b/>
          <w:bCs/>
          <w:sz w:val="24"/>
          <w:szCs w:val="24"/>
          <w:highlight w:val="none"/>
          <w:u w:val="none"/>
          <w:lang w:val="en-US" w:eastAsia="zh-CN"/>
        </w:rPr>
        <w:t xml:space="preserve">其他要求</w:t>
      </w:r>
      <w:r/>
    </w:p>
    <w:p>
      <w:pPr>
        <w:ind w:firstLine="482"/>
        <w:jc w:val="left"/>
        <w:keepLines w:val="0"/>
        <w:keepNext w:val="0"/>
        <w:pageBreakBefore w:val="0"/>
        <w:spacing w:line="440" w:lineRule="exact"/>
        <w:widowControl w:val="off"/>
        <w:rPr>
          <w:rFonts w:hint="eastAsia" w:ascii="宋体" w:hAnsi="宋体"/>
          <w:bCs/>
          <w:color w:val="000000"/>
          <w:sz w:val="24"/>
          <w:highlight w:val="none"/>
          <w:lang w:val="en-US" w:eastAsia="zh-CN"/>
        </w:rPr>
      </w:pPr>
      <w:r>
        <w:rPr>
          <w:rFonts w:hint="eastAsia" w:ascii="宋体" w:hAnsi="宋体"/>
          <w:b/>
          <w:bCs w:val="0"/>
          <w:color w:val="000000"/>
          <w:sz w:val="24"/>
          <w:highlight w:val="none"/>
          <w:lang w:val="en-US" w:eastAsia="zh-CN"/>
        </w:rPr>
        <w:t xml:space="preserve">（一）</w:t>
      </w:r>
      <w:r>
        <w:rPr>
          <w:rFonts w:hint="eastAsia" w:ascii="宋体" w:hAnsi="宋体"/>
          <w:bCs/>
          <w:color w:val="000000"/>
          <w:sz w:val="24"/>
          <w:highlight w:val="none"/>
          <w:lang w:val="en-US" w:eastAsia="zh-CN"/>
        </w:rPr>
        <w:t xml:space="preserve">投标人提供自2022年1月1日以来（以合同签订时间为准），承担过与本项目核心内容类似的项目【类似项目指包含以下一项或多项内容的项目：建筑机器人、智能建造设备或高精度测量仪器的设备供应、技术服务或系统集成；职业教育领域的实训中心、一体化学习工作站的规划、建设或设备集成】</w:t>
      </w:r>
      <w:r>
        <w:rPr>
          <w:rFonts w:hint="eastAsia" w:ascii="宋体" w:hAnsi="宋体"/>
          <w:bCs/>
          <w:color w:val="0000ff"/>
          <w:sz w:val="24"/>
          <w:highlight w:val="none"/>
          <w:lang w:val="en-US" w:eastAsia="zh-CN"/>
        </w:rPr>
        <w:t xml:space="preserve">的</w:t>
      </w:r>
      <w:r>
        <w:rPr>
          <w:rFonts w:hint="eastAsia" w:ascii="宋体" w:hAnsi="宋体"/>
          <w:b/>
          <w:bCs w:val="0"/>
          <w:color w:val="0000ff"/>
          <w:sz w:val="24"/>
          <w:highlight w:val="none"/>
          <w:lang w:val="en-US" w:eastAsia="zh-CN"/>
        </w:rPr>
        <w:t xml:space="preserve">优先</w:t>
      </w:r>
      <w:r>
        <w:rPr>
          <w:rFonts w:hint="eastAsia" w:ascii="宋体" w:hAnsi="宋体"/>
          <w:bCs/>
          <w:color w:val="0000ff"/>
          <w:sz w:val="24"/>
          <w:highlight w:val="none"/>
          <w:lang w:val="en-US" w:eastAsia="zh-CN"/>
        </w:rPr>
        <w:t xml:space="preserve">。</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（二）</w:t>
      </w:r>
      <w:r>
        <w:rPr>
          <w:rFonts w:hint="eastAsia" w:ascii="宋体" w:hAnsi="宋体"/>
          <w:bCs/>
          <w:color w:val="000000"/>
          <w:sz w:val="24"/>
          <w:highlight w:val="none"/>
          <w:lang w:val="en"/>
        </w:rPr>
        <w:t xml:space="preserve">投标产品属于财政部、国家发改委公布的“节能产品品目清单”范围内的优先；投标产品属于财政部、生态环境部公布的“环境标志产品品目清单”范围内</w:t>
      </w:r>
      <w:r>
        <w:rPr>
          <w:rFonts w:hint="eastAsia" w:ascii="宋体" w:hAnsi="宋体"/>
          <w:bCs/>
          <w:color w:val="0000ff"/>
          <w:sz w:val="24"/>
          <w:highlight w:val="none"/>
          <w:lang w:val="en"/>
        </w:rPr>
        <w:t xml:space="preserve">的</w:t>
      </w:r>
      <w:r>
        <w:rPr>
          <w:rFonts w:hint="eastAsia" w:ascii="宋体" w:hAnsi="宋体"/>
          <w:b/>
          <w:bCs w:val="0"/>
          <w:color w:val="0000ff"/>
          <w:sz w:val="24"/>
          <w:highlight w:val="none"/>
          <w:lang w:val="en"/>
        </w:rPr>
        <w:t xml:space="preserve">优先</w:t>
      </w:r>
      <w:r>
        <w:rPr>
          <w:rFonts w:hint="eastAsia" w:ascii="宋体" w:hAnsi="宋体"/>
          <w:bCs/>
          <w:color w:val="000000"/>
          <w:sz w:val="24"/>
          <w:highlight w:val="none"/>
          <w:lang w:val="en"/>
        </w:rPr>
        <w:t xml:space="preserve">。</w:t>
      </w:r>
      <w:r/>
    </w:p>
    <w:p>
      <w:pPr>
        <w:ind w:firstLine="482"/>
        <w:jc w:val="left"/>
        <w:keepLines w:val="0"/>
        <w:keepNext w:val="0"/>
        <w:pageBreakBefore w:val="0"/>
        <w:spacing w:line="480" w:lineRule="exact"/>
        <w:widowControl/>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（三）</w:t>
      </w:r>
      <w:r>
        <w:rPr>
          <w:rFonts w:hint="eastAsia" w:ascii="宋体" w:hAnsi="宋体"/>
          <w:bCs/>
          <w:color w:val="000000"/>
          <w:sz w:val="24"/>
          <w:highlight w:val="none"/>
          <w:lang w:val="en-US" w:eastAsia="zh-CN"/>
        </w:rPr>
        <w:t xml:space="preserve">供应商提供的货物及软件免费质保期不低于3年（自最终验收合格之日起计算），在此基础上额外增加免费质保年限</w:t>
      </w:r>
      <w:r>
        <w:rPr>
          <w:rFonts w:hint="eastAsia" w:ascii="宋体" w:hAnsi="宋体" w:eastAsia="宋体" w:cs="宋体"/>
          <w:color w:val="0000ff"/>
          <w:sz w:val="24"/>
          <w:szCs w:val="22"/>
          <w:highlight w:val="none"/>
          <w:lang w:val="en-US" w:eastAsia="zh-CN" w:bidi="ar-SA"/>
        </w:rPr>
        <w:t xml:space="preserve">的</w:t>
      </w:r>
      <w:r>
        <w:rPr>
          <w:rFonts w:hint="eastAsia" w:ascii="宋体" w:hAnsi="宋体" w:eastAsia="宋体" w:cs="宋体"/>
          <w:b/>
          <w:bCs/>
          <w:color w:val="0000ff"/>
          <w:sz w:val="24"/>
          <w:szCs w:val="22"/>
          <w:highlight w:val="none"/>
          <w:lang w:val="en-US" w:eastAsia="zh-CN" w:bidi="ar-SA"/>
        </w:rPr>
        <w:t xml:space="preserve">优先</w:t>
      </w:r>
      <w:r>
        <w:rPr>
          <w:rFonts w:hint="eastAsia" w:ascii="宋体" w:hAnsi="宋体" w:eastAsia="宋体" w:cs="宋体"/>
          <w:b w:val="0"/>
          <w:bCs w:val="0"/>
          <w:color w:val="auto"/>
          <w:sz w:val="24"/>
          <w:szCs w:val="22"/>
          <w:highlight w:val="none"/>
          <w:lang w:val="en-US" w:eastAsia="zh-CN" w:bidi="ar-SA"/>
        </w:rPr>
        <w:t xml:space="preserve">。</w:t>
      </w:r>
      <w:r/>
    </w:p>
    <w:p>
      <w:pPr>
        <w:ind w:firstLine="482"/>
        <w:jc w:val="left"/>
        <w:keepLines w:val="0"/>
        <w:keepNext w:val="0"/>
        <w:pageBreakBefore w:val="0"/>
        <w:spacing w:line="480" w:lineRule="exact"/>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（四）项目实施及售后服务方案</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保障设备高质量交付、稳定运行及长期服务，投标人须针对本项目制定可落地、可追溯、可考核的方案，结合本项目8类核心设备（混凝土整平机器人等）的技术特性与教学场景，明确全流程责任与时限，方案至少应包含以下内容：</w:t>
      </w:r>
      <w:r/>
    </w:p>
    <w:p>
      <w:pPr>
        <w:ind w:left="0" w:firstLine="482"/>
        <w:jc w:val="left"/>
        <w:keepLines w:val="0"/>
        <w:keepNext w:val="0"/>
        <w:pageBreakBefore w:val="0"/>
        <w:spacing w:line="440" w:lineRule="exact"/>
        <w:widowControl w:val="off"/>
        <w:rPr>
          <w:rFonts w:hint="eastAsia" w:ascii="宋体" w:hAnsi="宋体" w:eastAsia="宋体" w:cs="宋体"/>
          <w:sz w:val="24"/>
          <w:szCs w:val="24"/>
          <w:highlight w:val="none"/>
        </w:rPr>
        <w:outlineLvl w:val="1"/>
      </w:pPr>
      <w:r/>
      <w:bookmarkStart w:id="176" w:name="heading_1"/>
      <w:r>
        <w:rPr>
          <w:rFonts w:hint="eastAsia" w:ascii="宋体" w:hAnsi="宋体" w:eastAsia="宋体" w:cs="宋体"/>
          <w:b/>
          <w:sz w:val="24"/>
          <w:szCs w:val="24"/>
          <w:highlight w:val="none"/>
        </w:rPr>
        <w:t xml:space="preserve">一、安装、调试及验收方案</w:t>
      </w:r>
      <w:bookmarkEnd w:id="176"/>
      <w:r/>
      <w:r/>
    </w:p>
    <w:p>
      <w:pPr>
        <w:ind w:left="0" w:firstLine="482"/>
        <w:jc w:val="left"/>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供应商须提供详尽可落地的《安装、调试及验收技术方案》，内容至少包含以下方面，且需针对设备差异化需求明确专项措施：</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（1）安装计划：</w:t>
      </w:r>
      <w:r>
        <w:rPr>
          <w:rFonts w:hint="eastAsia" w:ascii="宋体" w:hAnsi="宋体" w:eastAsia="宋体" w:cs="宋体"/>
          <w:sz w:val="24"/>
          <w:szCs w:val="24"/>
          <w:highlight w:val="none"/>
          <w:lang w:val="en-US" w:eastAsia="zh-CN"/>
        </w:rPr>
        <w:t xml:space="preserve">至少包</w:t>
      </w:r>
      <w:r>
        <w:rPr>
          <w:rFonts w:hint="eastAsia" w:ascii="宋体" w:hAnsi="宋体" w:eastAsia="宋体" w:cs="宋体"/>
          <w:sz w:val="24"/>
          <w:szCs w:val="24"/>
          <w:highlight w:val="none"/>
        </w:rPr>
        <w:t xml:space="preserve">含8类设备整体进度规划及分批次实施节点表；设备进场验收标准、临时存放（防潮防尘等）方案；安装前现场勘察清单（场地尺寸、承重、电力等）及定制化准备建议。</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（2）人员配置：</w:t>
      </w:r>
      <w:r>
        <w:rPr>
          <w:rFonts w:hint="eastAsia" w:ascii="宋体" w:hAnsi="宋体" w:eastAsia="宋体" w:cs="宋体"/>
          <w:sz w:val="24"/>
          <w:szCs w:val="24"/>
          <w:highlight w:val="none"/>
          <w:lang w:val="en-US" w:eastAsia="zh-CN"/>
        </w:rPr>
        <w:t xml:space="preserve">至少</w:t>
      </w:r>
      <w:r>
        <w:rPr>
          <w:rFonts w:hint="eastAsia" w:ascii="宋体" w:hAnsi="宋体" w:eastAsia="宋体" w:cs="宋体"/>
          <w:sz w:val="24"/>
          <w:szCs w:val="24"/>
          <w:highlight w:val="none"/>
        </w:rPr>
        <w:t xml:space="preserve">提供现场团队组织架构图，明确项目负责人（5年以上同类项目管理经验）、技术工程师（每类设备1名持证人员）的资质与职责；说明交付后长期维护团队配置、服务覆盖及响应机制。</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（3）调试方案：</w:t>
      </w:r>
      <w:r>
        <w:rPr>
          <w:rFonts w:hint="eastAsia" w:ascii="宋体" w:hAnsi="宋体" w:eastAsia="宋体" w:cs="宋体"/>
          <w:sz w:val="24"/>
          <w:szCs w:val="24"/>
          <w:highlight w:val="none"/>
          <w:lang w:val="en-US" w:eastAsia="zh-CN"/>
        </w:rPr>
        <w:t xml:space="preserve">至少提供</w:t>
      </w:r>
      <w:r>
        <w:rPr>
          <w:rFonts w:hint="eastAsia" w:ascii="宋体" w:hAnsi="宋体" w:eastAsia="宋体" w:cs="宋体"/>
          <w:sz w:val="24"/>
          <w:szCs w:val="24"/>
          <w:highlight w:val="none"/>
        </w:rPr>
        <w:t xml:space="preserve">“单设备-多设备-系统集成”分层设计，单设备需列明功能测试项、方法及合格标准；多设备明确协同场景、测试指标；系统集成说明对接测试内容；明确调试记录管理方式确保可追溯。</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（4）验收依据与程序：</w:t>
      </w:r>
      <w:r>
        <w:rPr>
          <w:rFonts w:ascii="Segoe UI" w:hAnsi="Segoe UI" w:eastAsia="Segoe UI" w:cs="Segoe UI"/>
          <w:i w:val="0"/>
          <w:iCs w:val="0"/>
          <w:caps w:val="0"/>
          <w:spacing w:val="0"/>
          <w:sz w:val="24"/>
          <w:szCs w:val="24"/>
          <w:highlight w:val="none"/>
          <w:shd w:val="clear" w:color="auto" w:fill="ffffff"/>
        </w:rPr>
        <w:t xml:space="preserve">至少包含国家及行业现行标准（如《建筑机器人通用技术条件》）、招标文件技术要求、投标文件承诺、设备出厂技术说明书、采购合同条款）</w:t>
      </w:r>
      <w:r>
        <w:rPr>
          <w:rFonts w:hint="eastAsia" w:ascii="Segoe UI" w:hAnsi="Segoe UI" w:eastAsia="宋体" w:cs="Segoe UI"/>
          <w:i w:val="0"/>
          <w:iCs w:val="0"/>
          <w:caps w:val="0"/>
          <w:spacing w:val="0"/>
          <w:sz w:val="24"/>
          <w:szCs w:val="24"/>
          <w:highlight w:val="none"/>
          <w:shd w:val="clear" w:color="auto" w:fill="ffffff"/>
          <w:lang w:eastAsia="zh-CN"/>
        </w:rPr>
        <w:t xml:space="preserve">，</w:t>
      </w:r>
      <w:r>
        <w:rPr>
          <w:rFonts w:ascii="Segoe UI" w:hAnsi="Segoe UI" w:eastAsia="Segoe UI" w:cs="Segoe UI"/>
          <w:i w:val="0"/>
          <w:iCs w:val="0"/>
          <w:caps w:val="0"/>
          <w:spacing w:val="0"/>
          <w:sz w:val="24"/>
          <w:szCs w:val="24"/>
          <w:highlight w:val="none"/>
          <w:shd w:val="clear" w:color="auto" w:fill="ffffff"/>
        </w:rPr>
        <w:t xml:space="preserve">清晰划分预验收（设备安装完成后，由供应商组织的内部自检，需列明自检项目与合格阈值）、初步验收（采购人参与，针对安装质量、单设备功能的验收，需明确验收流程、参与人员及签字确认要求）、最终验收（针对设备性能、协同效果、教学适配性的全面验收）三个阶段的验收内容清单（分设备列明验收项目、测试方法、判定标准），并说明各阶段需提交的验收文档（如安装报告、调试记录、检测数据报告、用户使用反馈等）及验收不合格的整改流程（整改时限、复检标准）。</w:t>
      </w:r>
      <w:r/>
    </w:p>
    <w:p>
      <w:pPr>
        <w:ind w:left="0" w:firstLine="482"/>
        <w:jc w:val="left"/>
        <w:keepLines w:val="0"/>
        <w:keepNext w:val="0"/>
        <w:pageBreakBefore w:val="0"/>
        <w:spacing w:line="440" w:lineRule="exact"/>
        <w:widowControl w:val="off"/>
        <w:rPr>
          <w:rFonts w:hint="eastAsia" w:ascii="宋体" w:hAnsi="宋体" w:eastAsia="宋体" w:cs="宋体"/>
          <w:sz w:val="24"/>
          <w:szCs w:val="24"/>
          <w:highlight w:val="none"/>
        </w:rPr>
        <w:outlineLvl w:val="1"/>
      </w:pPr>
      <w:r/>
      <w:bookmarkStart w:id="177" w:name="heading_2"/>
      <w:r>
        <w:rPr>
          <w:rFonts w:hint="eastAsia" w:ascii="宋体" w:hAnsi="宋体" w:eastAsia="宋体" w:cs="宋体"/>
          <w:b/>
          <w:sz w:val="24"/>
          <w:szCs w:val="24"/>
          <w:highlight w:val="none"/>
        </w:rPr>
        <w:t xml:space="preserve">二、质量保障与应急服务方案</w:t>
      </w:r>
      <w:bookmarkEnd w:id="177"/>
      <w:r/>
      <w:r/>
    </w:p>
    <w:p>
      <w:pPr>
        <w:ind w:left="0" w:firstLine="482"/>
        <w:jc w:val="left"/>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供应商须提供覆盖全生命周期的《质量保障与应急服务方案》，内容至少包含以下方面，重点保障核心产品（地库喷涂、地砖铺贴机器人）：</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（1）总体质量目标：</w:t>
      </w:r>
      <w:r>
        <w:rPr>
          <w:rFonts w:hint="eastAsia" w:ascii="宋体" w:hAnsi="宋体" w:eastAsia="宋体" w:cs="宋体"/>
          <w:sz w:val="24"/>
          <w:szCs w:val="24"/>
          <w:highlight w:val="none"/>
          <w:lang w:val="en-US" w:eastAsia="zh-CN"/>
        </w:rPr>
        <w:t xml:space="preserve">至少涵盖</w:t>
      </w:r>
      <w:r>
        <w:rPr>
          <w:rFonts w:hint="eastAsia" w:ascii="宋体" w:hAnsi="宋体" w:eastAsia="宋体" w:cs="宋体"/>
          <w:sz w:val="24"/>
          <w:szCs w:val="24"/>
          <w:highlight w:val="none"/>
        </w:rPr>
        <w:t xml:space="preserve">从设备性能（对应招标参数，质保期达标率≥99%）、稳定性（核心设备连续运行≥8小时，故障发生率≤1%）、教学适配（满足10门课程，支持响应率100%）</w:t>
      </w:r>
      <w:r>
        <w:rPr>
          <w:rFonts w:hint="eastAsia" w:ascii="宋体" w:hAnsi="宋体" w:eastAsia="宋体" w:cs="宋体"/>
          <w:sz w:val="24"/>
          <w:szCs w:val="24"/>
          <w:highlight w:val="none"/>
          <w:lang w:val="en-US" w:eastAsia="zh-CN"/>
        </w:rPr>
        <w:t xml:space="preserve">等方面</w:t>
      </w:r>
      <w:r>
        <w:rPr>
          <w:rFonts w:hint="eastAsia" w:ascii="宋体" w:hAnsi="宋体" w:eastAsia="宋体" w:cs="宋体"/>
          <w:sz w:val="24"/>
          <w:szCs w:val="24"/>
          <w:highlight w:val="none"/>
        </w:rPr>
        <w:t xml:space="preserve">提出量化承诺。</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（2）项目管控措施：建立全流程管控体系，</w:t>
      </w:r>
      <w:r>
        <w:rPr>
          <w:rFonts w:hint="eastAsia" w:ascii="宋体" w:hAnsi="宋体" w:eastAsia="宋体" w:cs="宋体"/>
          <w:sz w:val="24"/>
          <w:szCs w:val="24"/>
          <w:highlight w:val="none"/>
          <w:lang w:val="en-US" w:eastAsia="zh-CN"/>
        </w:rPr>
        <w:t xml:space="preserve">至少包</w:t>
      </w:r>
      <w:r>
        <w:rPr>
          <w:rFonts w:hint="eastAsia" w:ascii="宋体" w:hAnsi="宋体" w:eastAsia="宋体" w:cs="宋体"/>
          <w:sz w:val="24"/>
          <w:szCs w:val="24"/>
          <w:highlight w:val="none"/>
        </w:rPr>
        <w:t xml:space="preserve">含进度控制（甘特图、延误预警）、质量控制（各环节控制点）、风险清单（到货延迟等及应对措施）、变更管理流程、月度内部审核机制。</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（3）产品质量保证：</w:t>
      </w:r>
      <w:r>
        <w:rPr>
          <w:rFonts w:hint="eastAsia" w:ascii="宋体" w:hAnsi="宋体" w:eastAsia="宋体" w:cs="宋体"/>
          <w:sz w:val="24"/>
          <w:szCs w:val="24"/>
          <w:highlight w:val="none"/>
          <w:lang w:val="en-US" w:eastAsia="zh-CN"/>
        </w:rPr>
        <w:t xml:space="preserve">至少应涵盖</w:t>
      </w:r>
      <w:r>
        <w:rPr>
          <w:rFonts w:hint="eastAsia" w:ascii="宋体" w:hAnsi="宋体" w:eastAsia="宋体" w:cs="宋体"/>
          <w:sz w:val="24"/>
          <w:szCs w:val="24"/>
          <w:highlight w:val="none"/>
        </w:rPr>
        <w:t xml:space="preserve">设备说明</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符合的国标/行标（如RTK设备符合《全球导航卫星系统(GNSS)测量型接收机通用规范》），承诺提供原厂质量证明；核心产品需说明关键部件（机械臂等）品牌、认证及质保承诺；明确出厂检验流程及报告获取方式。</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（4）安全与应急保障：制定现场作业安全规范；</w:t>
      </w:r>
      <w:r>
        <w:rPr>
          <w:rFonts w:hint="eastAsia" w:ascii="宋体" w:hAnsi="宋体" w:eastAsia="宋体" w:cs="宋体"/>
          <w:sz w:val="24"/>
          <w:szCs w:val="24"/>
          <w:highlight w:val="none"/>
          <w:lang w:val="en-US" w:eastAsia="zh-CN"/>
        </w:rPr>
        <w:t xml:space="preserve">至少应涵盖</w:t>
      </w:r>
      <w:r>
        <w:rPr>
          <w:rFonts w:hint="eastAsia" w:ascii="宋体" w:hAnsi="宋体" w:eastAsia="宋体" w:cs="宋体"/>
          <w:sz w:val="24"/>
          <w:szCs w:val="24"/>
          <w:highlight w:val="none"/>
        </w:rPr>
        <w:t xml:space="preserve">针对机械碰撞等常见风险制定应急预案及联络清单；明确核心备件储备清单及调配流程（24小时内到位），应急团队7×24小时响应。</w:t>
      </w:r>
      <w:r/>
    </w:p>
    <w:p>
      <w:pPr>
        <w:ind w:left="0" w:firstLine="482"/>
        <w:jc w:val="left"/>
        <w:keepLines w:val="0"/>
        <w:keepNext w:val="0"/>
        <w:pageBreakBefore w:val="0"/>
        <w:spacing w:line="440" w:lineRule="exact"/>
        <w:widowControl w:val="off"/>
        <w:rPr>
          <w:rFonts w:hint="eastAsia" w:ascii="宋体" w:hAnsi="宋体" w:eastAsia="宋体" w:cs="宋体"/>
          <w:sz w:val="24"/>
          <w:szCs w:val="24"/>
          <w:highlight w:val="none"/>
        </w:rPr>
        <w:outlineLvl w:val="1"/>
      </w:pPr>
      <w:r/>
      <w:bookmarkStart w:id="178" w:name="heading_3"/>
      <w:r>
        <w:rPr>
          <w:rFonts w:hint="eastAsia" w:ascii="宋体" w:hAnsi="宋体" w:eastAsia="宋体" w:cs="宋体"/>
          <w:b/>
          <w:sz w:val="24"/>
          <w:szCs w:val="24"/>
          <w:highlight w:val="none"/>
        </w:rPr>
        <w:t xml:space="preserve">三、培训方案</w:t>
      </w:r>
      <w:bookmarkEnd w:id="178"/>
      <w:r/>
      <w:r/>
    </w:p>
    <w:p>
      <w:pPr>
        <w:ind w:left="0" w:firstLine="482"/>
        <w:jc w:val="left"/>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供应商须针对教师、学生、管理员差异化需求，制定定制化《培训方案》，内容至少包含以下要素，确保满足教学与管理需求：</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（1）培训目标与周期：按角色明确技能目标（教师</w:t>
      </w:r>
      <w:r>
        <w:rPr>
          <w:rFonts w:hint="eastAsia" w:ascii="宋体" w:hAnsi="宋体" w:eastAsia="宋体" w:cs="宋体"/>
          <w:sz w:val="24"/>
          <w:szCs w:val="24"/>
          <w:highlight w:val="none"/>
          <w:lang w:val="en-US" w:eastAsia="zh-CN"/>
        </w:rPr>
        <w:t xml:space="preserve">至少包</w:t>
      </w:r>
      <w:r>
        <w:rPr>
          <w:rFonts w:hint="eastAsia" w:ascii="宋体" w:hAnsi="宋体" w:eastAsia="宋体" w:cs="宋体"/>
          <w:sz w:val="24"/>
          <w:szCs w:val="24"/>
          <w:highlight w:val="none"/>
        </w:rPr>
        <w:t xml:space="preserve">含全功能操作与课程设计，学生</w:t>
      </w:r>
      <w:r>
        <w:rPr>
          <w:rFonts w:hint="eastAsia" w:ascii="宋体" w:hAnsi="宋体" w:eastAsia="宋体" w:cs="宋体"/>
          <w:sz w:val="24"/>
          <w:szCs w:val="24"/>
          <w:highlight w:val="none"/>
          <w:lang w:val="en-US" w:eastAsia="zh-CN"/>
        </w:rPr>
        <w:t xml:space="preserve">至少包</w:t>
      </w:r>
      <w:r>
        <w:rPr>
          <w:rFonts w:hint="eastAsia" w:ascii="宋体" w:hAnsi="宋体" w:eastAsia="宋体" w:cs="宋体"/>
          <w:sz w:val="24"/>
          <w:szCs w:val="24"/>
          <w:highlight w:val="none"/>
        </w:rPr>
        <w:t xml:space="preserve">含基础操作，管理员含台账管理）；明确总时长（教师≥20课时、学生≥16课时、管理员≥8课时）及分阶段安排表。</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（2）师资与培训安排：介绍讲师团队配置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每类设备</w:t>
      </w:r>
      <w:r>
        <w:rPr>
          <w:rFonts w:hint="eastAsia" w:ascii="宋体" w:hAnsi="宋体" w:eastAsia="宋体" w:cs="宋体"/>
          <w:sz w:val="24"/>
          <w:szCs w:val="24"/>
          <w:highlight w:val="none"/>
          <w:lang w:val="en-US" w:eastAsia="zh-CN"/>
        </w:rPr>
        <w:t xml:space="preserve">至少配备</w:t>
      </w:r>
      <w:r>
        <w:rPr>
          <w:rFonts w:hint="eastAsia" w:ascii="宋体" w:hAnsi="宋体" w:eastAsia="宋体" w:cs="宋体"/>
          <w:sz w:val="24"/>
          <w:szCs w:val="24"/>
          <w:highlight w:val="none"/>
        </w:rPr>
        <w:t xml:space="preserve">1名持证讲师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可兼任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；分角色分设备制定课程大纲（</w:t>
      </w:r>
      <w:r>
        <w:rPr>
          <w:rFonts w:hint="eastAsia" w:ascii="宋体" w:hAnsi="宋体" w:eastAsia="宋体" w:cs="宋体"/>
          <w:sz w:val="24"/>
          <w:szCs w:val="24"/>
          <w:highlight w:val="none"/>
          <w:lang w:val="en-US" w:eastAsia="zh-CN"/>
        </w:rPr>
        <w:t xml:space="preserve">至少包</w:t>
      </w:r>
      <w:r>
        <w:rPr>
          <w:rFonts w:hint="eastAsia" w:ascii="宋体" w:hAnsi="宋体" w:eastAsia="宋体" w:cs="宋体"/>
          <w:sz w:val="24"/>
          <w:szCs w:val="24"/>
          <w:highlight w:val="none"/>
        </w:rPr>
        <w:t xml:space="preserve">含理论与实操）；说明“PPT+视频+实操示范”组合培训方式及详细日程计划。</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（3）培训内容与质量控制：分设备列明培训模块；提供教材资料清单（</w:t>
      </w:r>
      <w:r>
        <w:rPr>
          <w:rFonts w:hint="eastAsia" w:ascii="宋体" w:hAnsi="宋体" w:eastAsia="宋体" w:cs="宋体"/>
          <w:sz w:val="24"/>
          <w:szCs w:val="24"/>
          <w:highlight w:val="none"/>
          <w:lang w:val="en-US" w:eastAsia="zh-CN"/>
        </w:rPr>
        <w:t xml:space="preserve">至少包</w:t>
      </w:r>
      <w:r>
        <w:rPr>
          <w:rFonts w:hint="eastAsia" w:ascii="宋体" w:hAnsi="宋体" w:eastAsia="宋体" w:cs="宋体"/>
          <w:sz w:val="24"/>
          <w:szCs w:val="24"/>
          <w:highlight w:val="none"/>
        </w:rPr>
        <w:t xml:space="preserve">含中文版手册等），承诺培训后交付电子及纸质版（≥5套）；分角色设计考核方式（理论≥80分、实操≥85分），不合格者免费补训。</w:t>
      </w:r>
      <w:r/>
    </w:p>
    <w:p>
      <w:pPr>
        <w:ind w:left="0" w:firstLine="482"/>
        <w:jc w:val="left"/>
        <w:keepLines w:val="0"/>
        <w:keepNext w:val="0"/>
        <w:pageBreakBefore w:val="0"/>
        <w:spacing w:line="440" w:lineRule="exact"/>
        <w:widowControl w:val="off"/>
        <w:rPr>
          <w:rFonts w:hint="eastAsia" w:ascii="宋体" w:hAnsi="宋体" w:eastAsia="宋体" w:cs="宋体"/>
          <w:sz w:val="24"/>
          <w:szCs w:val="24"/>
          <w:highlight w:val="none"/>
        </w:rPr>
        <w:outlineLvl w:val="1"/>
      </w:pPr>
      <w:r/>
      <w:bookmarkStart w:id="179" w:name="heading_4"/>
      <w:r>
        <w:rPr>
          <w:rFonts w:hint="eastAsia" w:ascii="宋体" w:hAnsi="宋体" w:eastAsia="宋体" w:cs="宋体"/>
          <w:b/>
          <w:sz w:val="24"/>
          <w:szCs w:val="24"/>
          <w:highlight w:val="none"/>
        </w:rPr>
        <w:t xml:space="preserve">四、售后服务方案</w:t>
      </w:r>
      <w:bookmarkEnd w:id="179"/>
      <w:r/>
      <w:r/>
    </w:p>
    <w:p>
      <w:pPr>
        <w:ind w:left="0" w:firstLine="482"/>
        <w:jc w:val="left"/>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供应商须提供高效可持续的《售后服务方案》，内容至少包含以下方面，保障质保期内外服务质量：</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（1）售后服务响应标准：</w:t>
      </w:r>
      <w:r>
        <w:rPr>
          <w:rFonts w:hint="eastAsia" w:ascii="宋体" w:hAnsi="宋体" w:eastAsia="宋体" w:cs="宋体"/>
          <w:sz w:val="24"/>
          <w:szCs w:val="24"/>
          <w:highlight w:val="none"/>
          <w:lang w:val="en-US" w:eastAsia="zh-CN"/>
        </w:rPr>
        <w:t xml:space="preserve">至少应</w:t>
      </w:r>
      <w:r>
        <w:rPr>
          <w:rFonts w:hint="eastAsia" w:ascii="宋体" w:hAnsi="宋体" w:eastAsia="宋体" w:cs="宋体"/>
          <w:sz w:val="24"/>
          <w:szCs w:val="24"/>
          <w:highlight w:val="none"/>
        </w:rPr>
        <w:t xml:space="preserve">明确7×24小时服务热线及多渠道在线支持（工作时间30分钟响应）；按故障级别承诺时限（一般故障48小时内现场，紧急故障12小时内现场），故障解决后24小时内提交报告。</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（2）服务流程与团队：</w:t>
      </w:r>
      <w:r>
        <w:rPr>
          <w:rFonts w:hint="eastAsia" w:ascii="宋体" w:hAnsi="宋体" w:eastAsia="宋体" w:cs="宋体"/>
          <w:sz w:val="24"/>
          <w:szCs w:val="24"/>
          <w:highlight w:val="none"/>
          <w:lang w:val="en-US" w:eastAsia="zh-CN"/>
        </w:rPr>
        <w:t xml:space="preserve">至少应</w:t>
      </w:r>
      <w:r>
        <w:rPr>
          <w:rFonts w:hint="eastAsia" w:ascii="宋体" w:hAnsi="宋体" w:eastAsia="宋体" w:cs="宋体"/>
          <w:sz w:val="24"/>
          <w:szCs w:val="24"/>
          <w:highlight w:val="none"/>
        </w:rPr>
        <w:t xml:space="preserve">呈现“上报-派单-实施-回访”闭环流程；提供服务团队架构（≥3名工程师）及核心人员资质；说明本地化支持能力（盐城及周边服务点或6小时内调配人员）。</w:t>
      </w:r>
      <w:r/>
    </w:p>
    <w:p>
      <w:pPr>
        <w:ind w:left="0" w:firstLine="48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（3）运维期技术支持：</w:t>
      </w:r>
      <w:r>
        <w:rPr>
          <w:rFonts w:hint="eastAsia" w:ascii="宋体" w:hAnsi="宋体" w:eastAsia="宋体" w:cs="宋体"/>
          <w:sz w:val="24"/>
          <w:szCs w:val="24"/>
          <w:highlight w:val="none"/>
          <w:lang w:val="en-US" w:eastAsia="zh-CN"/>
        </w:rPr>
        <w:t xml:space="preserve">至少</w:t>
      </w:r>
      <w:r>
        <w:rPr>
          <w:rFonts w:hint="eastAsia" w:ascii="宋体" w:hAnsi="宋体" w:eastAsia="宋体" w:cs="宋体"/>
          <w:sz w:val="24"/>
          <w:szCs w:val="24"/>
          <w:highlight w:val="none"/>
        </w:rPr>
        <w:t xml:space="preserve">提供3年免费质保，含季度巡检、参数校准及免费软件升级；质保期内免费更换质量问题备件（24小时内发货）；明确质保期外收费标准（不高于市场价），承诺</w:t>
      </w:r>
      <w:r>
        <w:rPr>
          <w:rFonts w:hint="eastAsia" w:ascii="宋体" w:hAnsi="宋体" w:eastAsia="宋体" w:cs="宋体"/>
          <w:sz w:val="24"/>
          <w:szCs w:val="24"/>
          <w:highlight w:val="none"/>
          <w:lang w:val="en-US" w:eastAsia="zh-CN"/>
        </w:rPr>
        <w:t xml:space="preserve">不低于</w:t>
      </w:r>
      <w:r>
        <w:rPr>
          <w:rFonts w:hint="eastAsia" w:ascii="宋体" w:hAnsi="宋体" w:eastAsia="宋体" w:cs="宋体"/>
          <w:sz w:val="24"/>
          <w:szCs w:val="24"/>
          <w:highlight w:val="none"/>
        </w:rPr>
        <w:t xml:space="preserve">5年</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备件供应。</w:t>
      </w:r>
      <w:r/>
    </w:p>
    <w:p>
      <w:pPr>
        <w:ind w:firstLine="482"/>
        <w:jc w:val="left"/>
        <w:keepLines w:val="0"/>
        <w:keepNext w:val="0"/>
        <w:pageBreakBefore w:val="0"/>
        <w:spacing w:line="420" w:lineRule="exact"/>
        <w:widowControl/>
        <w:rPr>
          <w:rFonts w:hint="eastAsia" w:ascii="宋体" w:hAnsi="宋体" w:cs="宋体"/>
          <w:b/>
          <w:bCs/>
          <w:color w:val="auto"/>
          <w:sz w:val="24"/>
          <w:szCs w:val="24"/>
          <w:highlight w:val="none"/>
          <w:u w:val="none"/>
          <w:lang w:val="en-US" w:eastAsia="zh-CN"/>
          <w14:ligatures w14:val="none"/>
        </w:rPr>
      </w:pPr>
      <w:r>
        <w:rPr>
          <w:rFonts w:hint="eastAsia" w:ascii="宋体" w:hAnsi="宋体" w:cs="宋体"/>
          <w:b/>
          <w:bCs/>
          <w:color w:val="auto"/>
          <w:sz w:val="24"/>
          <w:szCs w:val="24"/>
          <w:highlight w:val="none"/>
          <w:u w:val="none"/>
          <w:lang w:val="en-US" w:eastAsia="zh-CN"/>
        </w:rPr>
        <w:t xml:space="preserve">七、采购标的对应的中小企业划分标准所属行业一览表</w:t>
      </w:r>
      <w:r/>
    </w:p>
    <w:tbl>
      <w:tblPr>
        <w:tblStyle w:val="856"/>
        <w:tblW w:w="769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96"/>
        <w:gridCol w:w="4586"/>
        <w:gridCol w:w="2514"/>
      </w:tblGrid>
      <w:tr>
        <w:trPr>
          <w:jc w:val="center"/>
          <w:tblCellSpacing w:w="0" w:type="dxa"/>
          <w:trHeight w:val="579"/>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892"/>
              <w:jc w:val="center"/>
              <w:spacing w:beforeAutospacing="0" w:afterAutospacing="0" w:line="0" w:lineRule="atLeast"/>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pStyle w:val="892"/>
              <w:jc w:val="center"/>
              <w:spacing w:beforeAutospacing="0" w:afterAutospacing="0" w:line="0" w:lineRule="atLeast"/>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采购标的</w:t>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892"/>
              <w:jc w:val="center"/>
              <w:spacing w:beforeAutospacing="0" w:afterAutospacing="0" w:line="0" w:lineRule="atLeast"/>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对应中小企业划分标准所属行业</w:t>
            </w:r>
            <w:r/>
          </w:p>
        </w:tc>
      </w:tr>
      <w:tr>
        <w:trPr>
          <w:jc w:val="center"/>
          <w:tblCellSpacing w:w="0" w:type="dxa"/>
          <w:trHeight w:val="632"/>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892"/>
              <w:jc w:val="center"/>
              <w:spacing w:beforeAutospacing="0" w:afterAutospacing="0" w:line="0" w:lineRule="atLeast"/>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W w:w="4586" w:type="dxa"/>
            <w:vAlign w:val="center"/>
            <w:textDirection w:val="lrTb"/>
            <w:noWrap w:val="false"/>
          </w:tcPr>
          <w:p>
            <w:pPr>
              <w:pStyle w:val="892"/>
              <w:jc w:val="center"/>
              <w:spacing w:beforeAutospacing="0" w:afterAutospacing="0" w:line="0" w:lineRule="atLeast"/>
              <w:rPr>
                <w:rFonts w:hint="eastAsia" w:ascii="宋体" w:hAnsi="宋体" w:eastAsia="宋体" w:cs="宋体"/>
                <w:color w:val="000000"/>
                <w:sz w:val="24"/>
                <w:szCs w:val="24"/>
                <w:highlight w:val="none"/>
                <w:u w:val="none"/>
                <w:shd w:val="clear" w:color="auto" w:fill="auto"/>
                <w:lang w:eastAsia="zh-CN"/>
              </w:rPr>
            </w:pPr>
            <w:r>
              <w:rPr>
                <w:rFonts w:hint="eastAsia" w:ascii="宋体" w:hAnsi="宋体" w:eastAsia="宋体" w:cs="宋体"/>
                <w:color w:val="000000"/>
                <w:sz w:val="24"/>
                <w:szCs w:val="24"/>
                <w:highlight w:val="none"/>
                <w:u w:val="none"/>
                <w:shd w:val="clear" w:color="auto" w:fill="auto"/>
                <w:lang w:eastAsia="zh-CN"/>
              </w:rPr>
              <w:t xml:space="preserve">江苏省盐城技师学院建筑机器人一体化学习工作站采购项目</w:t>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892"/>
              <w:jc w:val="center"/>
              <w:spacing w:beforeAutospacing="0" w:afterAutospacing="0" w:line="0" w:lineRule="atLeast"/>
              <w:rPr>
                <w:rFonts w:hint="eastAsia" w:ascii="宋体" w:hAnsi="宋体" w:eastAsia="宋体" w:cs="宋体"/>
                <w:color w:val="000000"/>
                <w:sz w:val="24"/>
                <w:szCs w:val="24"/>
                <w:highlight w:val="none"/>
                <w:u w:val="none"/>
                <w:shd w:val="clear" w:color="auto" w:fill="auto"/>
                <w:lang w:eastAsia="zh-CN"/>
              </w:rPr>
            </w:pPr>
            <w:r>
              <w:rPr>
                <w:rFonts w:hint="eastAsia" w:ascii="宋体" w:hAnsi="宋体" w:cs="宋体"/>
                <w:color w:val="000000"/>
                <w:sz w:val="24"/>
                <w:szCs w:val="24"/>
                <w:highlight w:val="none"/>
                <w:u w:val="none"/>
                <w:shd w:val="clear" w:color="auto" w:fill="auto"/>
                <w:lang w:val="en-US" w:eastAsia="zh-CN"/>
              </w:rPr>
              <w:t xml:space="preserve">工</w:t>
            </w:r>
            <w:r>
              <w:rPr>
                <w:rFonts w:hint="eastAsia" w:ascii="宋体" w:hAnsi="宋体" w:cs="宋体"/>
                <w:color w:val="000000"/>
                <w:sz w:val="24"/>
                <w:szCs w:val="24"/>
                <w:highlight w:val="none"/>
                <w:u w:val="none"/>
                <w:shd w:val="clear" w:color="auto" w:fill="auto"/>
                <w:lang w:eastAsia="zh-CN"/>
              </w:rPr>
              <w:t xml:space="preserve">业</w:t>
            </w:r>
            <w:r/>
          </w:p>
        </w:tc>
      </w:tr>
    </w:tbl>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69"/>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69"/>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ind w:firstLine="482"/>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1、小微型企业</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（1）本项目专门面向中小企业采购，不再对小型和微型企业服务给予价格扣除。</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（2）供应商需按照采购文件的要求提供相应的《</w:t>
      </w:r>
      <w:r>
        <w:rPr>
          <w:rFonts w:hint="eastAsia" w:ascii="宋体" w:hAnsi="宋体" w:cs="宋体"/>
          <w:color w:val="auto"/>
          <w:sz w:val="24"/>
          <w:lang w:val="en-US" w:eastAsia="zh-CN"/>
        </w:rPr>
        <w:t xml:space="preserve">中小</w:t>
      </w:r>
      <w:r>
        <w:rPr>
          <w:rFonts w:hint="eastAsia" w:ascii="宋体" w:hAnsi="宋体" w:cs="宋体"/>
          <w:color w:val="auto"/>
          <w:sz w:val="24"/>
        </w:rPr>
        <w:t xml:space="preserve">企业声明函》。</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（3）企业标准请参照《关于印发中小企业划型标准规定的通知》（工信部联企业[2011]300号）文件规定自行填写。</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2、残疾人福利单位</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（1）本项目对残疾人福利性单位视同小型、微型企业。</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（2）残疾人福利单位标准请参照《关于促进残疾人就业政府采购政策的通知》（财库〔2017〕141号），需提供《残疾人福利性单位声明函》。</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3、监狱和戒毒企业</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（1）本项目对监狱和戒毒企业（简称监狱企业）视同小型、微型企业。</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（2）监狱企业参加政府采购活动时，需提供由省级以上监狱管理局、戒毒管理局(含新疆生产建设兵团)出具的属于监狱企业的证明文件。</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（3）监狱企业标准请参照《关于政府采购支持监狱企业发展有关问题的通知》（财库[2014]68号）。</w:t>
      </w:r>
      <w:r/>
    </w:p>
    <w:p>
      <w:pPr>
        <w:ind w:firstLine="482"/>
        <w:keepLines w:val="0"/>
        <w:keepNext w:val="0"/>
        <w:pageBreakBefore w:val="0"/>
        <w:spacing w:line="440" w:lineRule="exact"/>
        <w:widowControl w:val="off"/>
        <w:rPr>
          <w:rFonts w:ascii="宋体" w:hAnsi="宋体" w:cs="宋体"/>
          <w:color w:val="auto"/>
          <w:sz w:val="24"/>
        </w:rPr>
      </w:pPr>
      <w:r>
        <w:rPr>
          <w:rFonts w:hint="eastAsia" w:ascii="宋体" w:hAnsi="宋体" w:cs="宋体"/>
          <w:color w:val="auto"/>
          <w:sz w:val="24"/>
        </w:rPr>
        <w:t xml:space="preserve">4、残疾人福利单位、监狱企业属于小型、微型企业的，不重复享受政策。</w:t>
      </w:r>
      <w:r/>
    </w:p>
    <w:p>
      <w:pPr>
        <w:pStyle w:val="869"/>
        <w:ind w:firstLine="482"/>
        <w:spacing w:before="120" w:beforeAutospacing="0" w:after="120" w:afterAutospacing="0" w:line="0" w:lineRule="atLeast"/>
        <w:rPr>
          <w:rFonts w:ascii="宋体" w:hAnsi="宋体" w:cs="宋体"/>
          <w:color w:val="auto"/>
          <w:sz w:val="24"/>
        </w:rPr>
      </w:pPr>
      <w:r>
        <w:rPr>
          <w:rFonts w:ascii="宋体" w:hAnsi="宋体" w:cs="宋体"/>
          <w:color w:val="auto"/>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b/>
          <w:i/>
          <w:color w:val="auto"/>
          <w:sz w:val="24"/>
        </w:rPr>
        <w:t xml:space="preserve">如属政府强制采购产品未提供认证证书的或认证证书提供不全的将视为未实质性响应采购要求</w:t>
      </w:r>
      <w:r>
        <w:rPr>
          <w:rFonts w:ascii="宋体" w:hAnsi="宋体" w:cs="宋体"/>
          <w:i/>
          <w:color w:val="auto"/>
          <w:sz w:val="24"/>
        </w:rPr>
        <w:t xml:space="preserve">。</w:t>
      </w:r>
      <w:r>
        <w:rPr>
          <w:rFonts w:ascii="宋体" w:hAnsi="宋体" w:cs="宋体"/>
          <w:color w:val="auto"/>
          <w:sz w:val="24"/>
        </w:rPr>
        <w:t xml:space="preserve">其他条件相同情况下，应当优先采购节能产品、环境标志产品。</w:t>
      </w:r>
      <w:r/>
    </w:p>
    <w:p>
      <w:pPr>
        <w:pStyle w:val="869"/>
        <w:ind w:firstLine="482"/>
        <w:spacing w:before="120" w:beforeAutospacing="0" w:after="120" w:afterAutospacing="0"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评标标准</w:t>
      </w:r>
      <w:r/>
    </w:p>
    <w:tbl>
      <w:tblPr>
        <w:tblStyle w:val="856"/>
        <w:tblW w:w="90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246"/>
        <w:gridCol w:w="1017"/>
        <w:gridCol w:w="6112"/>
      </w:tblGrid>
      <w:tr>
        <w:trPr>
          <w:jc w:val="center"/>
          <w:trHeight w:val="683"/>
        </w:trPr>
        <w:tc>
          <w:tcPr>
            <w:tcW w:w="658"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246"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评审项目</w:t>
            </w:r>
            <w:r/>
          </w:p>
        </w:tc>
        <w:tc>
          <w:tcPr>
            <w:tcW w:w="1017"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6112" w:type="dxa"/>
            <w:vAlign w:val="center"/>
            <w:textDirection w:val="lrTb"/>
            <w:noWrap/>
          </w:tcPr>
          <w:p>
            <w:pPr>
              <w:jc w:val="center"/>
              <w:keepLines w:val="0"/>
              <w:keepNext w:val="0"/>
              <w:pageBreakBefore w:val="0"/>
              <w:spacing w:line="3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评审细则</w:t>
            </w:r>
            <w:r/>
          </w:p>
        </w:tc>
      </w:tr>
      <w:tr>
        <w:trPr>
          <w:jc w:val="center"/>
          <w:trHeight w:val="0"/>
        </w:trPr>
        <w:tc>
          <w:tcPr>
            <w:tcW w:w="658"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分</w:t>
            </w:r>
            <w:r/>
          </w:p>
        </w:tc>
        <w:tc>
          <w:tcPr>
            <w:tcW w:w="6112" w:type="dxa"/>
            <w:vAlign w:val="top"/>
            <w:textDirection w:val="lrTb"/>
            <w:noWrap/>
          </w:tcPr>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采用低价优先法，即满足招标文件要求且投标价格最低的有效投标报价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有效投标报价为未被评标委员会判定为无效标的投标文件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为评标基准价，其价格分为满分。</w:t>
            </w:r>
            <w:r/>
          </w:p>
          <w:p>
            <w:pPr>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其他投标人的价格分统一按下列公式计算：投标报价得分＝（评标基准价/投标报价）×</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（小数点保留两位）。</w:t>
            </w:r>
            <w:r/>
          </w:p>
        </w:tc>
      </w:tr>
      <w:tr>
        <w:trPr>
          <w:jc w:val="center"/>
          <w:trHeight w:val="0"/>
        </w:trPr>
        <w:tc>
          <w:tcPr>
            <w:tcW w:w="658"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业绩</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6112" w:type="dxa"/>
            <w:vAlign w:val="center"/>
            <w:textDirection w:val="lrTb"/>
            <w:noWrap/>
          </w:tcPr>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提供自2022年1月1日以来（以合同签订时间为准），承担过与本项目核心内容类似的项目【类似项目指包含以下一项或多项内容的项目：建筑机器人、智能建造设备或高精度测量仪器的设备供应、技术服务或系统集成；职业教育领域的实训中心、一体化学习工作站的规划、建设或设备集成</w:t>
            </w:r>
            <w:r>
              <w:rPr>
                <w:rFonts w:hint="eastAsia" w:ascii="宋体" w:hAnsi="宋体" w:eastAsia="宋体" w:cs="宋体"/>
                <w:color w:val="auto"/>
                <w:sz w:val="21"/>
                <w:szCs w:val="21"/>
                <w:highlight w:val="none"/>
                <w:lang w:val="en-US" w:eastAsia="zh-CN"/>
              </w:rPr>
              <w:t xml:space="preserve">】，每提供一个符合要求的有效业绩得2分，本项最高得10分。</w:t>
            </w:r>
            <w:r/>
          </w:p>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①须提供业绩合同的关键页复印件（至少包含合同首页、能够清晰体现合同双方盖章页、合同签订日期页、以及包含服务范围、设备清单或技术要求的核心内容页）。若合同核心内容页对设备型号、技术参数或服务范围表述不够清晰，须额外提供能有效证明其符合本条要求的项目验收报告（需采购方盖章）或经采购方确认的证明材料。②中小企业的自身业绩、合法联合体业绩及分包业绩均予认可。其中：联合体业绩需提供联合体协议及本投标人承担部分的证明；分包业绩需提供总包合同关键页及对应的分包合同。</w:t>
            </w:r>
            <w:r/>
          </w:p>
        </w:tc>
      </w:tr>
      <w:tr>
        <w:trPr>
          <w:jc w:val="center"/>
          <w:trHeight w:val="90"/>
        </w:trPr>
        <w:tc>
          <w:tcPr>
            <w:tcW w:w="658" w:type="dxa"/>
            <w:vAlign w:val="center"/>
            <w:textDirection w:val="lrTb"/>
            <w:noWrap/>
          </w:tcPr>
          <w:p>
            <w:pPr>
              <w:jc w:val="center"/>
              <w:keepLines w:val="0"/>
              <w:keepNext w:val="0"/>
              <w:pageBreakBefore w:val="0"/>
              <w:spacing w:line="32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技术参数</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w:t>
            </w:r>
            <w:r/>
          </w:p>
        </w:tc>
        <w:tc>
          <w:tcPr>
            <w:tcW w:w="6112" w:type="dxa"/>
            <w:vAlign w:val="center"/>
            <w:textDirection w:val="lrTb"/>
            <w:noWrap/>
          </w:tcPr>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w:t>
            </w:r>
            <w:r>
              <w:rPr>
                <w:rFonts w:hint="eastAsia" w:ascii="宋体" w:hAnsi="宋体" w:eastAsia="宋体" w:cs="宋体"/>
                <w:b w:val="0"/>
                <w:bCs/>
                <w:color w:val="auto"/>
                <w:sz w:val="21"/>
                <w:szCs w:val="21"/>
                <w:highlight w:val="none"/>
                <w:lang w:val="en-US" w:eastAsia="zh-CN"/>
              </w:rPr>
              <w:t xml:space="preserve">第四章 采购需求</w:t>
            </w:r>
            <w:r>
              <w:rPr>
                <w:rFonts w:hint="eastAsia" w:ascii="宋体" w:hAnsi="宋体" w:eastAsia="宋体" w:cs="宋体"/>
                <w:color w:val="auto"/>
                <w:sz w:val="21"/>
                <w:szCs w:val="21"/>
                <w:highlight w:val="none"/>
                <w:lang w:val="en-US" w:eastAsia="zh-CN" w:bidi="ar-SA"/>
              </w:rPr>
              <w:t xml:space="preserve">中标注“</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lang w:val="en-US" w:eastAsia="zh-CN" w:bidi="ar-SA"/>
              </w:rPr>
              <w:t xml:space="preserve">”的技术参数代表重要指标，共</w:t>
            </w:r>
            <w:r>
              <w:rPr>
                <w:rFonts w:hint="eastAsia" w:ascii="宋体" w:hAnsi="宋体" w:eastAsia="宋体" w:cs="宋体"/>
                <w:color w:val="auto"/>
                <w:sz w:val="21"/>
                <w:szCs w:val="21"/>
                <w:highlight w:val="none"/>
                <w:u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项，每有一项不满足（负偏离）或未提供证明材料的扣2分，本项最高扣16分；</w:t>
            </w:r>
            <w:r/>
          </w:p>
          <w:p>
            <w:pP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themeColor="text1"/>
                <w:sz w:val="21"/>
                <w:szCs w:val="21"/>
                <w:highlight w:val="none"/>
                <w:lang w:val="en-US" w:eastAsia="zh-CN" w:bidi="ar-SA"/>
              </w:rPr>
              <w:t xml:space="preserve">注：</w:t>
            </w:r>
            <w:r>
              <w:rPr>
                <w:rFonts w:hint="eastAsia" w:ascii="宋体" w:hAnsi="宋体" w:eastAsia="宋体" w:cs="宋体"/>
                <w:color w:val="000000" w:themeColor="text1"/>
                <w:sz w:val="21"/>
                <w:szCs w:val="21"/>
                <w:highlight w:val="none"/>
                <w:lang w:val="en-US" w:eastAsia="zh-CN"/>
              </w:rPr>
              <w:t xml:space="preserve">供应商须针对该部分条款提供有效证明材料，形式可包括：招标文件指定的证明文件（如有）、产品官方彩页（需注明发布日期）、原厂说明书、产品技术白皮书（须由产品研发主体出具），或承诺在中标后</w:t>
            </w:r>
            <w:r>
              <w:rPr>
                <w:rFonts w:hint="eastAsia" w:ascii="宋体" w:hAnsi="宋体" w:eastAsia="宋体" w:cs="宋体"/>
                <w:color w:val="000000" w:themeColor="text1"/>
                <w:sz w:val="21"/>
                <w:szCs w:val="21"/>
                <w:highlight w:val="none"/>
                <w:lang w:val="en-US" w:eastAsia="zh-CN"/>
              </w:rPr>
              <w:t xml:space="preserve">合同签订</w:t>
            </w:r>
            <w:r>
              <w:rPr>
                <w:rFonts w:hint="eastAsia" w:ascii="宋体" w:hAnsi="宋体" w:eastAsia="宋体" w:cs="宋体"/>
                <w:color w:val="000000" w:themeColor="text1"/>
                <w:sz w:val="21"/>
                <w:szCs w:val="21"/>
                <w:highlight w:val="none"/>
                <w:lang w:val="en-US" w:eastAsia="zh-CN"/>
              </w:rPr>
              <w:t xml:space="preserve">前提供具备相应认证资质的第三方检测机构出具的检验报告（承诺函格式自拟，相关检测费用由中标人承担）</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r>
            <w:r/>
          </w:p>
        </w:tc>
      </w:tr>
      <w:tr>
        <w:trPr>
          <w:jc w:val="center"/>
          <w:trHeight w:val="90"/>
        </w:trPr>
        <w:tc>
          <w:tcPr>
            <w:tcW w:w="658"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视频演示</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17分</w:t>
            </w:r>
            <w:r/>
          </w:p>
        </w:tc>
        <w:tc>
          <w:tcPr>
            <w:tcW w:w="6112" w:type="dxa"/>
            <w:vAlign w:val="center"/>
            <w:textDirection w:val="lrTb"/>
            <w:noWrap/>
          </w:tcPr>
          <w:p>
            <w:pPr>
              <w:ind w:firstLine="0"/>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1.演示一：3.建筑测量机器人（2分）</w:t>
            </w:r>
            <w:r/>
          </w:p>
          <w:p>
            <w:pPr>
              <w:ind w:firstLine="0"/>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供应商根据本项目第四章 采购需求 中“</w:t>
            </w:r>
            <w:r>
              <w:rPr>
                <w:rFonts w:hint="eastAsia" w:ascii="宋体" w:hAnsi="宋体" w:eastAsia="宋体" w:cs="宋体"/>
                <w:color w:val="auto"/>
                <w:sz w:val="21"/>
                <w:szCs w:val="21"/>
                <w:highlight w:val="none"/>
                <w:lang w:val="en-US" w:eastAsia="zh-CN"/>
              </w:rPr>
              <w:t xml:space="preserve">★23.项目任务管理</w:t>
            </w:r>
            <w:r>
              <w:rPr>
                <w:rFonts w:hint="eastAsia" w:ascii="宋体" w:hAnsi="宋体" w:eastAsia="宋体" w:cs="宋体"/>
                <w:b w:val="0"/>
                <w:bCs/>
                <w:color w:val="auto"/>
                <w:sz w:val="21"/>
                <w:szCs w:val="21"/>
                <w:highlight w:val="none"/>
                <w:lang w:val="en-US" w:eastAsia="zh-CN"/>
              </w:rPr>
              <w:t xml:space="preserve">”要求提供演示，并能满</w:t>
            </w:r>
            <w:r>
              <w:rPr>
                <w:rFonts w:hint="eastAsia" w:ascii="宋体" w:hAnsi="宋体" w:eastAsia="宋体" w:cs="宋体"/>
                <w:color w:val="auto"/>
                <w:sz w:val="21"/>
                <w:szCs w:val="21"/>
                <w:highlight w:val="none"/>
                <w:lang w:val="en-US" w:eastAsia="zh-CN"/>
              </w:rPr>
              <w:t xml:space="preserve">足参数要求的得2分，不满足参数要求或缺少演示点或不提供演示的得0分，本项最高得2分。</w:t>
            </w:r>
            <w:r/>
          </w:p>
          <w:p>
            <w:pPr>
              <w:ind w:firstLine="0"/>
              <w:jc w:val="left"/>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2.演示二：4.地库喷涂机器人（6分）</w:t>
            </w:r>
            <w:r/>
          </w:p>
          <w:p>
            <w:pPr>
              <w:ind w:firstLine="0"/>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供应商根据本项目第四章 采购需求 中“★14.施工工艺”、“★15.多轴机械臂灵活执行结构”、“★20.状态指示灯”、“★21.低电量报警”、“★22.防碰撞检测”、“★23.涂料余量检测</w:t>
            </w:r>
            <w:r>
              <w:rPr>
                <w:rFonts w:hint="eastAsia" w:ascii="宋体" w:hAnsi="宋体" w:cs="宋体"/>
                <w:color w:val="auto"/>
                <w:sz w:val="21"/>
                <w:szCs w:val="21"/>
                <w:highlight w:val="none"/>
                <w:u w:val="none"/>
                <w:lang w:val="en-US" w:eastAsia="zh-CN" w:bidi="ar-SA"/>
              </w:rPr>
              <w:t xml:space="preserve">”</w:t>
            </w:r>
            <w:r>
              <w:rPr>
                <w:rFonts w:hint="eastAsia" w:ascii="宋体" w:hAnsi="宋体" w:eastAsia="宋体" w:cs="宋体"/>
                <w:b w:val="0"/>
                <w:bCs/>
                <w:color w:val="auto"/>
                <w:sz w:val="21"/>
                <w:szCs w:val="21"/>
                <w:highlight w:val="none"/>
                <w:lang w:val="en-US" w:eastAsia="zh-CN"/>
              </w:rPr>
              <w:t xml:space="preserve">要求，提供以上六项内容的完整演示视频，并能满</w:t>
            </w:r>
            <w:r>
              <w:rPr>
                <w:rFonts w:hint="eastAsia" w:ascii="宋体" w:hAnsi="宋体" w:eastAsia="宋体" w:cs="宋体"/>
                <w:color w:val="auto"/>
                <w:sz w:val="21"/>
                <w:szCs w:val="21"/>
                <w:highlight w:val="none"/>
                <w:lang w:val="en-US" w:eastAsia="zh-CN"/>
              </w:rPr>
              <w:t xml:space="preserve">足参数要求的有一项得1分，不满足参数要求或缺少演示点或不提供演示的得0分，本项最高得6分。</w:t>
            </w:r>
            <w:r/>
          </w:p>
          <w:p>
            <w:pPr>
              <w:ind w:firstLine="0"/>
              <w:jc w:val="both"/>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3.演示三：5.家装喷涂机器人（6分）</w:t>
            </w:r>
            <w:r/>
          </w:p>
          <w:p>
            <w:pPr>
              <w:ind w:firstLine="0"/>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供应商根据本项目第四章 采购需求 中“★16.施工工艺”、“★19.多轴机械臂灵活执行结构”、“★23.状态指示灯”、“★24.低电量报警”、“★25.防碰撞检测”、“★26.涂料余量检测</w:t>
            </w:r>
            <w:r>
              <w:rPr>
                <w:rFonts w:hint="eastAsia" w:ascii="宋体" w:hAnsi="宋体" w:cs="宋体"/>
                <w:color w:val="auto"/>
                <w:sz w:val="21"/>
                <w:szCs w:val="21"/>
                <w:highlight w:val="none"/>
                <w:u w:val="none"/>
                <w:lang w:val="en-US" w:eastAsia="zh-CN" w:bidi="ar-SA"/>
              </w:rPr>
              <w:t xml:space="preserve">”</w:t>
            </w:r>
            <w:r>
              <w:rPr>
                <w:rFonts w:hint="eastAsia" w:ascii="宋体" w:hAnsi="宋体" w:eastAsia="宋体" w:cs="宋体"/>
                <w:b w:val="0"/>
                <w:bCs/>
                <w:color w:val="auto"/>
                <w:sz w:val="21"/>
                <w:szCs w:val="21"/>
                <w:highlight w:val="none"/>
                <w:lang w:val="en-US" w:eastAsia="zh-CN"/>
              </w:rPr>
              <w:t xml:space="preserve">要求，提供以上六项内容的完整演示视频，并能满</w:t>
            </w:r>
            <w:r>
              <w:rPr>
                <w:rFonts w:hint="eastAsia" w:ascii="宋体" w:hAnsi="宋体" w:eastAsia="宋体" w:cs="宋体"/>
                <w:color w:val="auto"/>
                <w:sz w:val="21"/>
                <w:szCs w:val="21"/>
                <w:highlight w:val="none"/>
                <w:lang w:val="en-US" w:eastAsia="zh-CN"/>
              </w:rPr>
              <w:t xml:space="preserve">足参数要求的有一项得1分，不满足参数要求或缺少演示点或不提供演示的得0分，本项最高得6分。</w:t>
            </w:r>
            <w:r/>
          </w:p>
          <w:p>
            <w:pPr>
              <w:ind w:firstLine="0"/>
              <w:jc w:val="both"/>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4.演示四：8.RTK （移动站）（3分）</w:t>
            </w:r>
            <w:r/>
          </w:p>
          <w:p>
            <w:pPr>
              <w:ind w:firstLine="0"/>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供应商根据本项目第四章 采购需求 中“★12、激光测量功能”、“★3、全流程智能测图功能”、“★2、管线数据生成及入库功能”</w:t>
            </w:r>
            <w:r>
              <w:rPr>
                <w:rFonts w:hint="eastAsia" w:ascii="宋体" w:hAnsi="宋体" w:eastAsia="宋体" w:cs="宋体"/>
                <w:b w:val="0"/>
                <w:bCs/>
                <w:color w:val="auto"/>
                <w:sz w:val="21"/>
                <w:szCs w:val="21"/>
                <w:highlight w:val="none"/>
                <w:lang w:val="en-US" w:eastAsia="zh-CN"/>
              </w:rPr>
              <w:t xml:space="preserve">要求，提供以上三项内容的完整演示视频，并能满</w:t>
            </w:r>
            <w:r>
              <w:rPr>
                <w:rFonts w:hint="eastAsia" w:ascii="宋体" w:hAnsi="宋体" w:eastAsia="宋体" w:cs="宋体"/>
                <w:color w:val="auto"/>
                <w:sz w:val="21"/>
                <w:szCs w:val="21"/>
                <w:highlight w:val="none"/>
                <w:lang w:val="en-US" w:eastAsia="zh-CN"/>
              </w:rPr>
              <w:t xml:space="preserve">足参数要求的有一项得1分，不满足参数要求或缺少演示点或不提供演示的得0分，本项最高得3分。</w:t>
            </w:r>
            <w:r/>
          </w:p>
        </w:tc>
      </w:tr>
      <w:tr>
        <w:trPr>
          <w:jc w:val="center"/>
          <w:trHeight w:val="900"/>
        </w:trPr>
        <w:tc>
          <w:tcPr>
            <w:tcW w:w="658" w:type="dxa"/>
            <w:vAlign w:val="center"/>
            <w:textDirection w:val="lrTb"/>
            <w:noWrap/>
          </w:tcPr>
          <w:p>
            <w:pPr>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246" w:type="dxa"/>
            <w:vAlign w:val="center"/>
            <w:textDirection w:val="lrTb"/>
            <w:noWrap/>
          </w:tcPr>
          <w:p>
            <w:pPr>
              <w:jc w:val="center"/>
              <w:keepLines w:val="0"/>
              <w:keepNext w:val="0"/>
              <w:pageBreakBefore w:val="0"/>
              <w:spacing w:line="320" w:lineRule="exact"/>
              <w:rPr>
                <w:rFonts w:hint="default" w:ascii="宋体" w:hAnsi="宋体" w:eastAsia="宋体" w:cs="宋体"/>
                <w:color w:val="auto"/>
                <w:sz w:val="21"/>
                <w:szCs w:val="21"/>
                <w:highlight w:val="none"/>
                <w:u w:val="none"/>
                <w:lang w:val="en-US" w:eastAsia="zh-CN" w:bidi="ar-SA"/>
              </w:rPr>
            </w:pPr>
            <w:r>
              <w:rPr>
                <w:rFonts w:hint="eastAsia" w:ascii="宋体" w:hAnsi="宋体" w:cs="宋体"/>
                <w:color w:val="auto"/>
                <w:sz w:val="21"/>
                <w:szCs w:val="21"/>
                <w:highlight w:val="none"/>
                <w:u w:val="none"/>
                <w:lang w:val="en-US" w:eastAsia="zh-CN"/>
              </w:rPr>
              <w:t xml:space="preserve">质保期承诺</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u w:val="none"/>
                <w:lang w:val="en-US" w:eastAsia="zh-CN" w:bidi="ar-SA"/>
              </w:rPr>
            </w:pPr>
            <w:r>
              <w:rPr>
                <w:rFonts w:hint="eastAsia" w:ascii="宋体" w:hAnsi="宋体" w:cs="宋体"/>
                <w:color w:val="auto"/>
                <w:sz w:val="21"/>
                <w:szCs w:val="21"/>
                <w:highlight w:val="none"/>
                <w:u w:val="none"/>
                <w:lang w:val="en-US" w:eastAsia="zh-CN"/>
              </w:rPr>
              <w:t xml:space="preserve">2分</w:t>
            </w:r>
            <w:r/>
          </w:p>
        </w:tc>
        <w:tc>
          <w:tcPr>
            <w:tcW w:w="6112" w:type="dxa"/>
            <w:vAlign w:val="center"/>
            <w:textDirection w:val="lrTb"/>
            <w:noWrap/>
          </w:tcPr>
          <w:p>
            <w:pPr>
              <w:pStyle w:val="901"/>
              <w:ind w:left="0" w:right="0" w:firstLine="0"/>
              <w:keepLines w:val="0"/>
              <w:keepNext w:val="0"/>
              <w:pageBreakBefore w:val="0"/>
              <w:spacing w:line="320" w:lineRule="exact"/>
              <w:widowControl/>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供应商提供的货物及软件免费质保期不低于3年（自最终验收合格之日起计算），在此基础上每额外增加1年免费质保期，加1分，本项最高加2分。</w:t>
            </w:r>
            <w:r/>
          </w:p>
          <w:p>
            <w:pPr>
              <w:pStyle w:val="901"/>
              <w:ind w:left="0" w:right="0" w:firstLine="0"/>
              <w:keepLines w:val="0"/>
              <w:keepNext w:val="0"/>
              <w:pageBreakBefore w:val="0"/>
              <w:spacing w:line="320" w:lineRule="exact"/>
              <w:widowControl/>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注：须提供加盖供应商公章的质保承诺函（格式自拟），承诺函</w:t>
            </w:r>
            <w:r>
              <w:rPr>
                <w:rFonts w:hint="eastAsia" w:cs="宋体"/>
                <w:color w:val="auto"/>
                <w:sz w:val="21"/>
                <w:szCs w:val="21"/>
                <w:highlight w:val="none"/>
                <w:u w:val="none"/>
                <w:lang w:val="en-US" w:eastAsia="zh-CN" w:bidi="ar-SA"/>
              </w:rPr>
              <w:t xml:space="preserve">至少应包含</w:t>
            </w:r>
            <w:r>
              <w:rPr>
                <w:rFonts w:hint="eastAsia" w:ascii="宋体" w:hAnsi="宋体" w:eastAsia="宋体" w:cs="宋体"/>
                <w:color w:val="auto"/>
                <w:sz w:val="21"/>
                <w:szCs w:val="21"/>
                <w:highlight w:val="none"/>
                <w:u w:val="none"/>
                <w:lang w:val="en-US" w:eastAsia="zh-CN" w:bidi="ar-SA"/>
              </w:rPr>
              <w:t xml:space="preserve">免费质保期总时长、质保范围及质保期内服务标准</w:t>
            </w:r>
            <w:r>
              <w:rPr>
                <w:rFonts w:hint="eastAsia" w:cs="宋体"/>
                <w:color w:val="auto"/>
                <w:sz w:val="21"/>
                <w:szCs w:val="21"/>
                <w:highlight w:val="none"/>
                <w:u w:val="none"/>
                <w:lang w:val="en-US" w:eastAsia="zh-CN" w:bidi="ar-SA"/>
              </w:rPr>
              <w:t xml:space="preserve">。</w:t>
            </w:r>
            <w:r/>
          </w:p>
        </w:tc>
      </w:tr>
      <w:tr>
        <w:trPr>
          <w:jc w:val="center"/>
          <w:trHeight w:val="0"/>
        </w:trPr>
        <w:tc>
          <w:tcPr>
            <w:tcW w:w="658" w:type="dxa"/>
            <w:vAlign w:val="center"/>
            <w:vMerge w:val="restart"/>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W w:w="1246" w:type="dxa"/>
            <w:vAlign w:val="center"/>
            <w:vMerge w:val="restart"/>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项目实施及售后服务方案</w:t>
            </w:r>
            <w:r/>
          </w:p>
        </w:tc>
        <w:tc>
          <w:tcPr>
            <w:tcW w:w="1017" w:type="dxa"/>
            <w:vAlign w:val="center"/>
            <w:vMerge w:val="restart"/>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分</w:t>
            </w:r>
            <w:r/>
          </w:p>
        </w:tc>
        <w:tc>
          <w:tcPr>
            <w:tcW w:w="6112" w:type="dxa"/>
            <w:vAlign w:val="center"/>
            <w:textDirection w:val="lrTb"/>
            <w:noWrap/>
          </w:tcPr>
          <w:p>
            <w:pPr>
              <w:jc w:val="left"/>
              <w:keepLines w:val="0"/>
              <w:keepNext w:val="0"/>
              <w:pageBreakBefore w:val="0"/>
              <w:spacing w:line="320" w:lineRule="exact"/>
              <w:widowControl w:val="off"/>
              <w:rPr>
                <w:rFonts w:hint="eastAsia" w:ascii="宋体" w:hAnsi="宋体" w:eastAsia="宋体" w:cs="宋体"/>
                <w:b/>
                <w:bCs/>
                <w:color w:val="auto"/>
                <w:sz w:val="21"/>
                <w:szCs w:val="21"/>
                <w:highlight w:val="none"/>
                <w:u w:val="none"/>
                <w:lang w:eastAsia="zh-CN"/>
              </w:rPr>
            </w:pPr>
            <w:r>
              <w:rPr>
                <w:rFonts w:hint="eastAsia" w:ascii="宋体" w:hAnsi="宋体" w:eastAsia="宋体" w:cs="宋体"/>
                <w:b/>
                <w:bCs/>
                <w:color w:val="auto"/>
                <w:sz w:val="21"/>
                <w:szCs w:val="21"/>
                <w:highlight w:val="none"/>
                <w:u w:val="none"/>
                <w:lang w:val="en-US" w:eastAsia="zh-CN"/>
              </w:rPr>
              <w:t xml:space="preserve">1.</w:t>
            </w:r>
            <w:r>
              <w:rPr>
                <w:rFonts w:hint="eastAsia" w:ascii="宋体" w:hAnsi="宋体" w:eastAsia="宋体" w:cs="宋体"/>
                <w:b/>
                <w:bCs/>
                <w:color w:val="auto"/>
                <w:sz w:val="21"/>
                <w:szCs w:val="21"/>
                <w:highlight w:val="none"/>
                <w:u w:val="none"/>
              </w:rPr>
              <w:t xml:space="preserve">安装</w:t>
            </w:r>
            <w:r>
              <w:rPr>
                <w:rFonts w:hint="eastAsia" w:ascii="宋体" w:hAnsi="宋体" w:eastAsia="宋体" w:cs="宋体"/>
                <w:b/>
                <w:bCs/>
                <w:color w:val="auto"/>
                <w:sz w:val="21"/>
                <w:szCs w:val="21"/>
                <w:highlight w:val="none"/>
                <w:u w:val="none"/>
                <w:lang w:eastAsia="zh-CN"/>
              </w:rPr>
              <w:t xml:space="preserve">、</w:t>
            </w:r>
            <w:r>
              <w:rPr>
                <w:rFonts w:hint="eastAsia" w:ascii="宋体" w:hAnsi="宋体" w:eastAsia="宋体" w:cs="宋体"/>
                <w:b/>
                <w:bCs/>
                <w:color w:val="auto"/>
                <w:sz w:val="21"/>
                <w:szCs w:val="21"/>
                <w:highlight w:val="none"/>
                <w:u w:val="none"/>
              </w:rPr>
              <w:t xml:space="preserve">调试及验收</w:t>
            </w:r>
            <w:r>
              <w:rPr>
                <w:rFonts w:hint="eastAsia" w:ascii="宋体" w:hAnsi="宋体" w:eastAsia="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4分</w:t>
            </w:r>
            <w:r>
              <w:rPr>
                <w:rFonts w:hint="eastAsia" w:ascii="宋体" w:hAnsi="宋体" w:eastAsia="宋体" w:cs="宋体"/>
                <w:b/>
                <w:bCs/>
                <w:color w:val="auto"/>
                <w:sz w:val="21"/>
                <w:szCs w:val="21"/>
                <w:highlight w:val="none"/>
                <w:u w:val="none"/>
                <w:lang w:eastAsia="zh-CN"/>
              </w:rPr>
              <w:t xml:space="preserve">）</w:t>
            </w:r>
            <w:r/>
          </w:p>
          <w:p>
            <w:pPr>
              <w:pStyle w:val="901"/>
              <w:ind w:left="0" w:right="0" w:firstLine="0"/>
              <w:keepLines w:val="0"/>
              <w:keepNext w:val="0"/>
              <w:pageBreakBefore w:val="0"/>
              <w:spacing w:line="320" w:lineRule="exact"/>
              <w:widowControl/>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 xml:space="preserve">供应商根据本项目第四章“1.安装、调试及验收方案”要求</w:t>
            </w:r>
            <w:r>
              <w:rPr>
                <w:rFonts w:hint="eastAsia" w:ascii="宋体" w:hAnsi="宋体" w:eastAsia="宋体" w:cs="宋体"/>
                <w:color w:val="auto"/>
                <w:sz w:val="21"/>
                <w:szCs w:val="21"/>
                <w:highlight w:val="none"/>
                <w:u w:val="none"/>
                <w:lang w:val="en-US" w:eastAsia="zh-CN"/>
              </w:rPr>
              <w:t xml:space="preserve">提供技术方案</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至少包括以下内容：</w:t>
            </w:r>
            <w:r>
              <w:rPr>
                <w:rFonts w:hint="eastAsia" w:ascii="宋体" w:hAnsi="宋体" w:eastAsia="宋体" w:cs="宋体"/>
                <w:color w:val="auto"/>
                <w:sz w:val="21"/>
                <w:szCs w:val="21"/>
                <w:highlight w:val="none"/>
                <w:u w:val="none"/>
              </w:rPr>
              <w:t xml:space="preserve">（1）安装计划；（2）人员配置；（3）调试方案；（</w:t>
            </w:r>
            <w:r>
              <w:rPr>
                <w:rFonts w:hint="eastAsia"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rPr>
              <w:t xml:space="preserve">）验收依据与程序；</w:t>
            </w:r>
            <w:r>
              <w:rPr>
                <w:rFonts w:hint="eastAsia" w:ascii="宋体" w:hAnsi="宋体" w:eastAsia="宋体" w:cs="宋体"/>
                <w:color w:val="auto"/>
                <w:sz w:val="21"/>
                <w:szCs w:val="21"/>
                <w:highlight w:val="none"/>
                <w:u w:val="none"/>
                <w:lang w:val="en-US" w:eastAsia="zh-CN"/>
              </w:rPr>
              <w:t xml:space="preserve">方案优于项目需求的得</w:t>
            </w:r>
            <w:r>
              <w:rPr>
                <w:rFonts w:hint="eastAsia"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lang w:val="en-US" w:eastAsia="zh-CN"/>
              </w:rPr>
              <w:t xml:space="preserve">分；满足项目需求的得</w:t>
            </w:r>
            <w:r>
              <w:rPr>
                <w:rFonts w:hint="eastAsia"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lang w:val="en-US" w:eastAsia="zh-CN"/>
              </w:rPr>
              <w:t xml:space="preserve">分；不满足或无此项内容的本项不得分。</w:t>
            </w:r>
            <w:r/>
          </w:p>
          <w:p>
            <w:pPr>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且能显著提升项目交付质量与效率的优化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2" w:type="dxa"/>
            <w:vAlign w:val="center"/>
            <w:textDirection w:val="lrTb"/>
            <w:noWrap/>
          </w:tcPr>
          <w:p>
            <w:pPr>
              <w:jc w:val="left"/>
              <w:keepLines w:val="0"/>
              <w:keepNext w:val="0"/>
              <w:pageBreakBefore w:val="0"/>
              <w:spacing w:line="320" w:lineRule="exact"/>
              <w:widowControl w:val="off"/>
              <w:rPr>
                <w:rFonts w:hint="eastAsia" w:ascii="宋体" w:hAnsi="宋体" w:eastAsia="宋体" w:cs="宋体"/>
                <w:b/>
                <w:bCs/>
                <w:color w:val="auto"/>
                <w:sz w:val="21"/>
                <w:szCs w:val="21"/>
                <w:highlight w:val="none"/>
                <w:u w:val="none"/>
                <w:lang w:eastAsia="zh-CN"/>
              </w:rPr>
            </w:pPr>
            <w:r>
              <w:rPr>
                <w:rFonts w:hint="eastAsia" w:ascii="宋体" w:hAnsi="宋体" w:cs="宋体"/>
                <w:b/>
                <w:bCs/>
                <w:color w:val="auto"/>
                <w:sz w:val="21"/>
                <w:szCs w:val="21"/>
                <w:highlight w:val="none"/>
                <w:u w:val="none"/>
                <w:lang w:val="en-US" w:eastAsia="zh-CN"/>
              </w:rPr>
              <w:t xml:space="preserve">2</w:t>
            </w:r>
            <w:r>
              <w:rPr>
                <w:rFonts w:hint="eastAsia" w:ascii="宋体" w:hAnsi="宋体" w:eastAsia="宋体" w:cs="宋体"/>
                <w:b/>
                <w:bCs/>
                <w:color w:val="auto"/>
                <w:sz w:val="21"/>
                <w:szCs w:val="21"/>
                <w:highlight w:val="none"/>
                <w:u w:val="none"/>
                <w:lang w:val="en-US" w:eastAsia="zh-CN"/>
              </w:rPr>
              <w:t xml:space="preserve">.质量保障与应急服务方案</w:t>
            </w:r>
            <w:r>
              <w:rPr>
                <w:rFonts w:hint="eastAsia" w:ascii="宋体" w:hAnsi="宋体" w:eastAsia="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3</w:t>
            </w:r>
            <w:r>
              <w:rPr>
                <w:rFonts w:hint="eastAsia" w:ascii="宋体" w:hAnsi="宋体" w:eastAsia="宋体" w:cs="宋体"/>
                <w:b/>
                <w:bCs/>
                <w:color w:val="auto"/>
                <w:sz w:val="21"/>
                <w:szCs w:val="21"/>
                <w:highlight w:val="none"/>
                <w:u w:val="none"/>
                <w:lang w:val="en-US" w:eastAsia="zh-CN"/>
              </w:rPr>
              <w:t xml:space="preserve">分</w:t>
            </w:r>
            <w:r>
              <w:rPr>
                <w:rFonts w:hint="eastAsia" w:ascii="宋体" w:hAnsi="宋体" w:eastAsia="宋体" w:cs="宋体"/>
                <w:b/>
                <w:bCs/>
                <w:color w:val="auto"/>
                <w:sz w:val="21"/>
                <w:szCs w:val="21"/>
                <w:highlight w:val="none"/>
                <w:u w:val="none"/>
                <w:lang w:eastAsia="zh-CN"/>
              </w:rPr>
              <w:t xml:space="preserve">）</w:t>
            </w:r>
            <w:r/>
          </w:p>
          <w:p>
            <w:pPr>
              <w:pStyle w:val="901"/>
              <w:ind w:left="0" w:right="0" w:firstLine="0"/>
              <w:keepLines w:val="0"/>
              <w:keepNext w:val="0"/>
              <w:pageBreakBefore w:val="0"/>
              <w:spacing w:line="320" w:lineRule="exact"/>
              <w:widowControl/>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 xml:space="preserve">供应商根据本项目第四章“</w:t>
            </w:r>
            <w:r>
              <w:rPr>
                <w:rFonts w:hint="eastAsia" w:cs="宋体"/>
                <w:color w:val="auto"/>
                <w:sz w:val="21"/>
                <w:szCs w:val="21"/>
                <w:highlight w:val="none"/>
                <w:u w:val="none"/>
                <w:lang w:val="en-US" w:eastAsia="zh-CN"/>
              </w:rPr>
              <w:t xml:space="preserve">2.质量保障与应急服务方案</w:t>
            </w:r>
            <w:r>
              <w:rPr>
                <w:rFonts w:hint="eastAsia" w:ascii="宋体" w:hAnsi="宋体" w:eastAsia="宋体" w:cs="宋体"/>
                <w:color w:val="auto"/>
                <w:sz w:val="21"/>
                <w:szCs w:val="21"/>
                <w:highlight w:val="none"/>
                <w:u w:val="none"/>
              </w:rPr>
              <w:t xml:space="preserve">”要求</w:t>
            </w:r>
            <w:r>
              <w:rPr>
                <w:rFonts w:hint="eastAsia" w:ascii="宋体" w:hAnsi="宋体" w:eastAsia="宋体" w:cs="宋体"/>
                <w:color w:val="auto"/>
                <w:sz w:val="21"/>
                <w:szCs w:val="21"/>
                <w:highlight w:val="none"/>
                <w:u w:val="none"/>
                <w:lang w:val="en-US" w:eastAsia="zh-CN"/>
              </w:rPr>
              <w:t xml:space="preserve">提供技术方案</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至少包括以下内容：</w:t>
            </w:r>
            <w:r>
              <w:rPr>
                <w:rFonts w:hint="eastAsia" w:ascii="宋体" w:hAnsi="宋体" w:eastAsia="宋体" w:cs="宋体"/>
                <w:color w:val="auto"/>
                <w:sz w:val="21"/>
                <w:szCs w:val="21"/>
                <w:highlight w:val="none"/>
                <w:u w:val="none"/>
              </w:rPr>
              <w:t xml:space="preserve">（1）总体质量目标；（2）项目管控措施；（3）产品质量保证；（4）安全与应急保障；</w:t>
            </w:r>
            <w:r>
              <w:rPr>
                <w:rFonts w:hint="eastAsia" w:ascii="宋体" w:hAnsi="宋体" w:eastAsia="宋体" w:cs="宋体"/>
                <w:color w:val="auto"/>
                <w:sz w:val="21"/>
                <w:szCs w:val="21"/>
                <w:highlight w:val="none"/>
                <w:u w:val="none"/>
                <w:lang w:val="en-US" w:eastAsia="zh-CN"/>
              </w:rPr>
              <w:t xml:space="preserve">方案优于项目需求的得</w:t>
            </w:r>
            <w:r>
              <w:rPr>
                <w:rFonts w:hint="eastAsia"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lang w:val="en-US" w:eastAsia="zh-CN"/>
              </w:rPr>
              <w:t xml:space="preserve">分；满足项目需求的得</w:t>
            </w:r>
            <w:r>
              <w:rPr>
                <w:rFonts w:hint="eastAsia"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lang w:val="en-US" w:eastAsia="zh-CN"/>
              </w:rPr>
              <w:t xml:space="preserve">分；不满足或无此项内容的本项不得分。</w:t>
            </w:r>
            <w:r/>
          </w:p>
          <w:p>
            <w:pPr>
              <w:jc w:val="left"/>
              <w:keepLines w:val="0"/>
              <w:keepNext w:val="0"/>
              <w:pageBreakBefore w:val="0"/>
              <w:spacing w:line="320" w:lineRule="exact"/>
              <w:widowControl w:val="off"/>
              <w:rPr>
                <w:rFonts w:hint="default"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且能显著提升项目交付质量与效率的优化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2" w:type="dxa"/>
            <w:vAlign w:val="center"/>
            <w:textDirection w:val="lrTb"/>
            <w:noWrap/>
          </w:tcPr>
          <w:p>
            <w:pPr>
              <w:jc w:val="left"/>
              <w:keepLines w:val="0"/>
              <w:keepNext w:val="0"/>
              <w:pageBreakBefore w:val="0"/>
              <w:spacing w:line="320" w:lineRule="exact"/>
              <w:widowControl w:val="off"/>
              <w:rPr>
                <w:rFonts w:hint="eastAsia" w:ascii="宋体" w:hAnsi="宋体" w:eastAsia="宋体" w:cs="宋体"/>
                <w:b/>
                <w:bCs/>
                <w:color w:val="auto"/>
                <w:sz w:val="21"/>
                <w:szCs w:val="21"/>
                <w:highlight w:val="none"/>
                <w:u w:val="none"/>
                <w:lang w:eastAsia="zh-CN"/>
              </w:rPr>
            </w:pPr>
            <w:r>
              <w:rPr>
                <w:rFonts w:hint="eastAsia" w:ascii="宋体" w:hAnsi="宋体" w:cs="宋体"/>
                <w:b/>
                <w:bCs/>
                <w:color w:val="auto"/>
                <w:sz w:val="21"/>
                <w:szCs w:val="21"/>
                <w:highlight w:val="none"/>
                <w:u w:val="none"/>
                <w:lang w:val="en-US" w:eastAsia="zh-CN"/>
              </w:rPr>
              <w:t xml:space="preserve">3</w:t>
            </w:r>
            <w:r>
              <w:rPr>
                <w:rFonts w:hint="eastAsia" w:ascii="宋体" w:hAnsi="宋体" w:eastAsia="宋体" w:cs="宋体"/>
                <w:b/>
                <w:bCs/>
                <w:color w:val="auto"/>
                <w:sz w:val="21"/>
                <w:szCs w:val="21"/>
                <w:highlight w:val="none"/>
                <w:u w:val="none"/>
                <w:lang w:val="en-US" w:eastAsia="zh-CN"/>
              </w:rPr>
              <w:t xml:space="preserve">.培训方案</w:t>
            </w:r>
            <w:r>
              <w:rPr>
                <w:rFonts w:hint="eastAsia" w:ascii="宋体" w:hAnsi="宋体" w:eastAsia="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3</w:t>
            </w:r>
            <w:r>
              <w:rPr>
                <w:rFonts w:hint="eastAsia" w:ascii="宋体" w:hAnsi="宋体" w:eastAsia="宋体" w:cs="宋体"/>
                <w:b/>
                <w:bCs/>
                <w:color w:val="auto"/>
                <w:sz w:val="21"/>
                <w:szCs w:val="21"/>
                <w:highlight w:val="none"/>
                <w:u w:val="none"/>
                <w:lang w:val="en-US" w:eastAsia="zh-CN"/>
              </w:rPr>
              <w:t xml:space="preserve">分</w:t>
            </w:r>
            <w:r>
              <w:rPr>
                <w:rFonts w:hint="eastAsia" w:ascii="宋体" w:hAnsi="宋体" w:eastAsia="宋体" w:cs="宋体"/>
                <w:b/>
                <w:bCs/>
                <w:color w:val="auto"/>
                <w:sz w:val="21"/>
                <w:szCs w:val="21"/>
                <w:highlight w:val="none"/>
                <w:u w:val="none"/>
                <w:lang w:eastAsia="zh-CN"/>
              </w:rPr>
              <w:t xml:space="preserve">）</w:t>
            </w:r>
            <w:r/>
          </w:p>
          <w:p>
            <w:pPr>
              <w:pStyle w:val="901"/>
              <w:ind w:left="0" w:right="0" w:firstLine="0"/>
              <w:keepLines w:val="0"/>
              <w:keepNext w:val="0"/>
              <w:pageBreakBefore w:val="0"/>
              <w:spacing w:line="320" w:lineRule="exact"/>
              <w:widowControl/>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 xml:space="preserve">供应商根据本项目第四章“</w:t>
            </w:r>
            <w:r>
              <w:rPr>
                <w:rFonts w:hint="eastAsia"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rPr>
              <w:t xml:space="preserve">培训方案”要求</w:t>
            </w:r>
            <w:r>
              <w:rPr>
                <w:rFonts w:hint="eastAsia" w:ascii="宋体" w:hAnsi="宋体" w:eastAsia="宋体" w:cs="宋体"/>
                <w:color w:val="auto"/>
                <w:sz w:val="21"/>
                <w:szCs w:val="21"/>
                <w:highlight w:val="none"/>
                <w:u w:val="none"/>
                <w:lang w:val="en-US" w:eastAsia="zh-CN"/>
              </w:rPr>
              <w:t xml:space="preserve">提供技术方案</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至少包括以下内容：</w:t>
            </w:r>
            <w:r>
              <w:rPr>
                <w:rFonts w:hint="eastAsia" w:ascii="宋体" w:hAnsi="宋体" w:eastAsia="宋体" w:cs="宋体"/>
                <w:color w:val="auto"/>
                <w:sz w:val="21"/>
                <w:szCs w:val="21"/>
                <w:highlight w:val="none"/>
                <w:u w:val="none"/>
              </w:rPr>
              <w:t xml:space="preserve">（1）培训目标与周期；（2）师资与培训安排；（3）培训内容与质量控制；</w:t>
            </w:r>
            <w:r>
              <w:rPr>
                <w:rFonts w:hint="eastAsia" w:ascii="宋体" w:hAnsi="宋体" w:eastAsia="宋体" w:cs="宋体"/>
                <w:color w:val="auto"/>
                <w:sz w:val="21"/>
                <w:szCs w:val="21"/>
                <w:highlight w:val="none"/>
                <w:u w:val="none"/>
                <w:lang w:val="en-US" w:eastAsia="zh-CN"/>
              </w:rPr>
              <w:t xml:space="preserve">方案优于项目需求的得</w:t>
            </w:r>
            <w:r>
              <w:rPr>
                <w:rFonts w:hint="eastAsia"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lang w:val="en-US" w:eastAsia="zh-CN"/>
              </w:rPr>
              <w:t xml:space="preserve">分；满足项目需求的得</w:t>
            </w:r>
            <w:r>
              <w:rPr>
                <w:rFonts w:hint="eastAsia"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lang w:val="en-US" w:eastAsia="zh-CN"/>
              </w:rPr>
              <w:t xml:space="preserve">分；不满足或无此项内容的本项不得分。</w:t>
            </w:r>
            <w:r/>
          </w:p>
          <w:p>
            <w:pPr>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且能显著提升项目交付质量与效率的优化内容的，可视为优于；方案能响应要求的可视为满足；方案对于要求的响应不完全或者偏离要求的，视为不满足。具体由评审委员会评审。</w:t>
            </w:r>
            <w:r/>
          </w:p>
        </w:tc>
      </w:tr>
      <w:tr>
        <w:trPr>
          <w:jc w:val="center"/>
          <w:trHeight w:val="630"/>
        </w:trPr>
        <w:tc>
          <w:tcPr>
            <w:tcW w:w="658"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46"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2" w:type="dxa"/>
            <w:vAlign w:val="center"/>
            <w:textDirection w:val="lrTb"/>
            <w:noWrap/>
          </w:tcPr>
          <w:p>
            <w:pPr>
              <w:jc w:val="left"/>
              <w:keepLines w:val="0"/>
              <w:keepNext w:val="0"/>
              <w:pageBreakBefore w:val="0"/>
              <w:spacing w:line="320" w:lineRule="exact"/>
              <w:widowControl w:val="off"/>
              <w:rPr>
                <w:rFonts w:hint="eastAsia" w:ascii="宋体" w:hAnsi="宋体" w:eastAsia="宋体" w:cs="宋体"/>
                <w:b/>
                <w:bCs/>
                <w:color w:val="auto"/>
                <w:sz w:val="21"/>
                <w:szCs w:val="21"/>
                <w:highlight w:val="none"/>
                <w:u w:val="none"/>
                <w:lang w:eastAsia="zh-CN"/>
              </w:rPr>
            </w:pPr>
            <w:r>
              <w:rPr>
                <w:rFonts w:hint="eastAsia" w:ascii="宋体" w:hAnsi="宋体" w:cs="宋体"/>
                <w:b/>
                <w:bCs/>
                <w:color w:val="auto"/>
                <w:sz w:val="21"/>
                <w:szCs w:val="21"/>
                <w:highlight w:val="none"/>
                <w:u w:val="none"/>
                <w:lang w:val="en-US" w:eastAsia="zh-CN"/>
              </w:rPr>
              <w:t xml:space="preserve">4</w:t>
            </w:r>
            <w:r>
              <w:rPr>
                <w:rFonts w:hint="eastAsia" w:ascii="宋体" w:hAnsi="宋体" w:eastAsia="宋体" w:cs="宋体"/>
                <w:b/>
                <w:bCs/>
                <w:color w:val="auto"/>
                <w:sz w:val="21"/>
                <w:szCs w:val="21"/>
                <w:highlight w:val="none"/>
                <w:u w:val="none"/>
                <w:lang w:val="en-US" w:eastAsia="zh-CN"/>
              </w:rPr>
              <w:t xml:space="preserve">.售后服务方案</w:t>
            </w:r>
            <w:r>
              <w:rPr>
                <w:rFonts w:hint="eastAsia" w:ascii="宋体" w:hAnsi="宋体" w:eastAsia="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3</w:t>
            </w:r>
            <w:r>
              <w:rPr>
                <w:rFonts w:hint="eastAsia" w:ascii="宋体" w:hAnsi="宋体" w:eastAsia="宋体" w:cs="宋体"/>
                <w:b/>
                <w:bCs/>
                <w:color w:val="auto"/>
                <w:sz w:val="21"/>
                <w:szCs w:val="21"/>
                <w:highlight w:val="none"/>
                <w:u w:val="none"/>
                <w:lang w:val="en-US" w:eastAsia="zh-CN"/>
              </w:rPr>
              <w:t xml:space="preserve">分</w:t>
            </w:r>
            <w:r>
              <w:rPr>
                <w:rFonts w:hint="eastAsia" w:ascii="宋体" w:hAnsi="宋体" w:eastAsia="宋体" w:cs="宋体"/>
                <w:b/>
                <w:bCs/>
                <w:color w:val="auto"/>
                <w:sz w:val="21"/>
                <w:szCs w:val="21"/>
                <w:highlight w:val="none"/>
                <w:u w:val="none"/>
                <w:lang w:eastAsia="zh-CN"/>
              </w:rPr>
              <w:t xml:space="preserve">）</w:t>
            </w:r>
            <w:r/>
          </w:p>
          <w:p>
            <w:pPr>
              <w:pStyle w:val="901"/>
              <w:ind w:left="0" w:right="0" w:firstLine="0"/>
              <w:keepLines w:val="0"/>
              <w:keepNext w:val="0"/>
              <w:pageBreakBefore w:val="0"/>
              <w:spacing w:line="320" w:lineRule="exact"/>
              <w:widowControl/>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 xml:space="preserve">供应商根据本项目第四章“</w:t>
            </w:r>
            <w:r>
              <w:rPr>
                <w:rFonts w:hint="eastAsia"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rPr>
              <w:t xml:space="preserve">售后服务方案”要求</w:t>
            </w:r>
            <w:r>
              <w:rPr>
                <w:rFonts w:hint="eastAsia" w:ascii="宋体" w:hAnsi="宋体" w:eastAsia="宋体" w:cs="宋体"/>
                <w:color w:val="auto"/>
                <w:sz w:val="21"/>
                <w:szCs w:val="21"/>
                <w:highlight w:val="none"/>
                <w:u w:val="none"/>
                <w:lang w:val="en-US" w:eastAsia="zh-CN"/>
              </w:rPr>
              <w:t xml:space="preserve">提供技术方案</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至少包括以下内容：</w:t>
            </w:r>
            <w:r>
              <w:rPr>
                <w:rFonts w:hint="eastAsia" w:ascii="宋体" w:hAnsi="宋体" w:eastAsia="宋体" w:cs="宋体"/>
                <w:color w:val="auto"/>
                <w:sz w:val="21"/>
                <w:szCs w:val="21"/>
                <w:highlight w:val="none"/>
                <w:u w:val="none"/>
              </w:rPr>
              <w:t xml:space="preserve">（1）售后服务响应标准</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（2）服务流程与团队</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rPr>
              <w:t xml:space="preserve">）运维期技术支持</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方案优于项目需求的得</w:t>
            </w:r>
            <w:r>
              <w:rPr>
                <w:rFonts w:hint="eastAsia"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lang w:val="en-US" w:eastAsia="zh-CN"/>
              </w:rPr>
              <w:t xml:space="preserve">分；满足项目需求的得</w:t>
            </w:r>
            <w:r>
              <w:rPr>
                <w:rFonts w:hint="eastAsia" w:cs="宋体"/>
                <w:color w:val="auto"/>
                <w:sz w:val="21"/>
                <w:szCs w:val="21"/>
                <w:highlight w:val="none"/>
                <w:u w:val="none"/>
                <w:lang w:val="en-US" w:eastAsia="zh-CN"/>
              </w:rPr>
              <w:t xml:space="preserve">2分</w:t>
            </w:r>
            <w:r>
              <w:rPr>
                <w:rFonts w:hint="eastAsia" w:ascii="宋体" w:hAnsi="宋体" w:eastAsia="宋体" w:cs="宋体"/>
                <w:color w:val="auto"/>
                <w:sz w:val="21"/>
                <w:szCs w:val="21"/>
                <w:highlight w:val="none"/>
                <w:u w:val="none"/>
                <w:lang w:val="en-US" w:eastAsia="zh-CN"/>
              </w:rPr>
              <w:t xml:space="preserve">；不满足或无此项内容的本项不得分。</w:t>
            </w:r>
            <w:r/>
          </w:p>
          <w:p>
            <w:pPr>
              <w:jc w:val="left"/>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的方案能全部响应要求，提出更为细致、有针对性、切实可行、且能显著提升项目交付质量与效率的优化内容的，可视为优于；方案能响应要求的可视为满足；方案对于要求的响应不完全或者偏离要求的，视为不满足。具体由评审委员会评审。</w:t>
            </w:r>
            <w:r/>
          </w:p>
        </w:tc>
      </w:tr>
      <w:tr>
        <w:trPr>
          <w:jc w:val="center"/>
          <w:trHeight w:val="0"/>
        </w:trPr>
        <w:tc>
          <w:tcPr>
            <w:tcW w:w="658"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246"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节能环保</w:t>
            </w:r>
            <w:r/>
          </w:p>
        </w:tc>
        <w:tc>
          <w:tcPr>
            <w:tcW w:w="101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w:t>
            </w:r>
            <w:r/>
          </w:p>
        </w:tc>
        <w:tc>
          <w:tcPr>
            <w:tcW w:w="6112" w:type="dxa"/>
            <w:vAlign w:val="center"/>
            <w:textDirection w:val="lrTb"/>
            <w:noWrap/>
          </w:tcPr>
          <w:p>
            <w:pPr>
              <w:pStyle w:val="901"/>
              <w:ind w:left="0" w:right="0" w:firstLine="0"/>
              <w:keepLines w:val="0"/>
              <w:keepNext w:val="0"/>
              <w:pageBreakBefore w:val="0"/>
              <w:spacing w:line="320" w:lineRule="exact"/>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pStyle w:val="901"/>
              <w:ind w:left="0" w:right="0" w:firstLine="0"/>
              <w:keepLines w:val="0"/>
              <w:keepNext w:val="0"/>
              <w:pageBreakBefore w:val="0"/>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2.投标产品属于财政部、生态环境部公布的“环境标志产品品目清单”范围内的，投标人提供国家确定的认证机构出具的、处于有效期内的该环保产品认证证书的，有1个得0.5分，最多得1分。</w:t>
            </w:r>
            <w:r/>
          </w:p>
        </w:tc>
      </w:tr>
    </w:tbl>
    <w:p>
      <w:pPr>
        <w:ind w:firstLine="422"/>
        <w:keepLines w:val="0"/>
        <w:keepNext w:val="0"/>
        <w:pageBreakBefore w:val="0"/>
        <w:spacing w:line="360" w:lineRule="exact"/>
        <w:widowControl w:val="off"/>
        <w:tabs>
          <w:tab w:val="left" w:pos="900" w:leader="none"/>
        </w:tabs>
      </w:pPr>
      <w:r>
        <w:rPr>
          <w:rFonts w:hint="eastAsia" w:ascii="宋体" w:hAnsi="宋体" w:eastAsia="宋体" w:cs="宋体"/>
          <w:b/>
          <w:color w:val="0000ff"/>
          <w:sz w:val="21"/>
          <w:szCs w:val="21"/>
          <w:lang w:val="en-US" w:eastAsia="zh-CN"/>
        </w:rPr>
        <w:t xml:space="preserve">注：</w:t>
      </w:r>
      <w:r>
        <w:rPr>
          <w:rFonts w:hint="eastAsia" w:ascii="宋体" w:hAnsi="宋体" w:cs="宋体"/>
          <w:b/>
          <w:color w:val="0000ff"/>
          <w:sz w:val="21"/>
          <w:szCs w:val="21"/>
          <w:lang w:val="en-US" w:eastAsia="zh-CN"/>
        </w:rPr>
        <w:t xml:space="preserve">1.</w:t>
      </w:r>
      <w:r>
        <w:rPr>
          <w:rFonts w:hint="eastAsia" w:ascii="宋体" w:hAnsi="宋体" w:eastAsia="宋体" w:cs="宋体"/>
          <w:b/>
          <w:color w:val="0000ff"/>
          <w:sz w:val="21"/>
          <w:szCs w:val="21"/>
          <w:lang w:val="en-US" w:eastAsia="zh-CN"/>
        </w:rPr>
        <w:t xml:space="preserve">上述加分项中需提供相关证明材料的，在该项目</w:t>
      </w:r>
      <w:r>
        <w:rPr>
          <w:rFonts w:hint="eastAsia" w:ascii="宋体" w:hAnsi="宋体" w:cs="宋体"/>
          <w:b/>
          <w:color w:val="0000ff"/>
          <w:sz w:val="21"/>
          <w:szCs w:val="21"/>
          <w:lang w:val="en-US" w:eastAsia="zh-CN"/>
        </w:rPr>
        <w:t xml:space="preserve">中标</w:t>
      </w:r>
      <w:r>
        <w:rPr>
          <w:rFonts w:hint="eastAsia" w:ascii="宋体" w:hAnsi="宋体" w:eastAsia="宋体" w:cs="宋体"/>
          <w:b/>
          <w:color w:val="0000ff"/>
          <w:sz w:val="21"/>
          <w:szCs w:val="21"/>
          <w:lang w:val="en-US" w:eastAsia="zh-CN"/>
        </w:rPr>
        <w:t xml:space="preserve">后七个工作日内，向招标人提供原件核查。如不提供或提供的原件与投标时提供的证明材料不一致，或提供虚假项目业绩，将被视为在投标过程中提供虚假材料谋取中标成交，将被取消成交资格，且采购人有权依据政府采购的有关规定，报请政府采购监管部门对该供应商进行相应的行政处罚和记录该供应商的失信信息。</w:t>
      </w:r>
      <w:r/>
    </w:p>
    <w:p>
      <w:pPr>
        <w:ind w:firstLine="422"/>
        <w:keepLines w:val="0"/>
        <w:keepNext w:val="0"/>
        <w:pageBreakBefore w:val="0"/>
        <w:spacing w:line="360" w:lineRule="exact"/>
        <w:widowControl w:val="off"/>
        <w:tabs>
          <w:tab w:val="left" w:pos="900" w:leader="none"/>
        </w:tabs>
        <w:rPr>
          <w:rFonts w:hint="eastAsia" w:ascii="宋体" w:hAnsi="宋体" w:eastAsia="宋体" w:cs="宋体"/>
          <w:b/>
          <w:color w:val="0000ff"/>
          <w:sz w:val="21"/>
          <w:szCs w:val="21"/>
          <w:lang w:val="en-US" w:eastAsia="zh-CN"/>
        </w:rPr>
      </w:pPr>
      <w:r>
        <w:rPr>
          <w:rFonts w:hint="eastAsia" w:ascii="宋体" w:hAnsi="宋体" w:cs="宋体"/>
          <w:b/>
          <w:color w:val="0000ff"/>
          <w:sz w:val="21"/>
          <w:szCs w:val="21"/>
          <w:lang w:val="en-US" w:eastAsia="zh-CN"/>
        </w:rPr>
        <w:t xml:space="preserve">2.</w:t>
      </w:r>
      <w:r>
        <w:rPr>
          <w:rFonts w:hint="eastAsia" w:ascii="宋体" w:hAnsi="宋体" w:eastAsia="宋体" w:cs="宋体"/>
          <w:b/>
          <w:color w:val="0000ff"/>
          <w:sz w:val="21"/>
          <w:szCs w:val="21"/>
          <w:lang w:val="en-US" w:eastAsia="zh-CN"/>
        </w:rPr>
        <w:t xml:space="preserve">供应商需按照</w:t>
      </w:r>
      <w:r>
        <w:rPr>
          <w:rFonts w:hint="eastAsia" w:ascii="宋体" w:hAnsi="宋体" w:cs="宋体"/>
          <w:b/>
          <w:color w:val="0000ff"/>
          <w:sz w:val="21"/>
          <w:szCs w:val="21"/>
          <w:lang w:val="en-US" w:eastAsia="zh-CN"/>
        </w:rPr>
        <w:t xml:space="preserve">招标</w:t>
      </w:r>
      <w:r>
        <w:rPr>
          <w:rFonts w:hint="eastAsia" w:ascii="宋体" w:hAnsi="宋体" w:eastAsia="宋体" w:cs="宋体"/>
          <w:b/>
          <w:color w:val="0000ff"/>
          <w:sz w:val="21"/>
          <w:szCs w:val="21"/>
          <w:lang w:val="en-US" w:eastAsia="zh-CN"/>
        </w:rPr>
        <w:t xml:space="preserve">文件规定的演示内容进行功能演示（视频画面须清晰</w:t>
      </w:r>
      <w:r>
        <w:rPr>
          <w:rFonts w:hint="eastAsia" w:ascii="宋体" w:hAnsi="宋体" w:cs="宋体"/>
          <w:b/>
          <w:color w:val="0000ff"/>
          <w:sz w:val="21"/>
          <w:szCs w:val="21"/>
          <w:lang w:val="en-US" w:eastAsia="zh-CN"/>
        </w:rPr>
        <w:t xml:space="preserve">，如不清晰导致评委无法评审的，责任由投标人自负</w:t>
      </w:r>
      <w:r>
        <w:rPr>
          <w:rFonts w:hint="eastAsia" w:ascii="宋体" w:hAnsi="宋体" w:eastAsia="宋体" w:cs="宋体"/>
          <w:b/>
          <w:color w:val="0000ff"/>
          <w:sz w:val="21"/>
          <w:szCs w:val="21"/>
          <w:lang w:val="en-US" w:eastAsia="zh-CN"/>
        </w:rPr>
        <w:t xml:space="preserve">），视频文件的格式为*.mp4或*.avi，供应商须将视频文件分段压缩为*.zip文件上传（单个文件不得大于50M，所有文件总共不得大于300M）。文件上传方式见《操作手册》规定，上传的演示视频将作为投标文件的组成部分，每个项目根据演示</w:t>
      </w:r>
      <w:r>
        <w:rPr>
          <w:rFonts w:hint="eastAsia" w:ascii="宋体" w:hAnsi="宋体" w:cs="宋体"/>
          <w:b/>
          <w:color w:val="0000ff"/>
          <w:sz w:val="21"/>
          <w:szCs w:val="21"/>
          <w:lang w:val="en-US" w:eastAsia="zh-CN"/>
        </w:rPr>
        <w:t xml:space="preserve">点</w:t>
      </w:r>
      <w:r>
        <w:rPr>
          <w:rFonts w:hint="eastAsia" w:ascii="宋体" w:hAnsi="宋体" w:eastAsia="宋体" w:cs="宋体"/>
          <w:b/>
          <w:color w:val="0000ff"/>
          <w:sz w:val="21"/>
          <w:szCs w:val="21"/>
          <w:lang w:val="en-US" w:eastAsia="zh-CN"/>
        </w:rPr>
        <w:t xml:space="preserve">进行评分。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69"/>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 </w:t>
      </w:r>
      <w:r/>
    </w:p>
    <w:p>
      <w:pPr>
        <w:pStyle w:val="869"/>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9"/>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9"/>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69"/>
        <w:jc w:val="center"/>
        <w:spacing w:beforeAutospacing="0" w:afterAutospacing="0"/>
        <w:rPr>
          <w:highlight w:val="none"/>
        </w:rPr>
      </w:pPr>
      <w:r/>
      <w:bookmarkStart w:id="180" w:name="_Toc120614282"/>
      <w:r/>
      <w:bookmarkEnd w:id="180"/>
      <w:r/>
      <w:bookmarkStart w:id="181" w:name="_Toc49090576"/>
      <w:r/>
      <w:bookmarkEnd w:id="181"/>
      <w:r/>
      <w:bookmarkStart w:id="182" w:name="_Toc26554094"/>
      <w:r/>
      <w:bookmarkStart w:id="183" w:name="_Hlt26955039"/>
      <w:r/>
      <w:bookmarkStart w:id="184" w:name="_Hlt26671244"/>
      <w:r>
        <w:rPr>
          <w:rFonts w:hint="eastAsia" w:ascii="宋体" w:hAnsi="宋体" w:eastAsia="宋体" w:cs="宋体"/>
          <w:b/>
          <w:color w:val="000000"/>
          <w:sz w:val="72"/>
          <w:szCs w:val="72"/>
          <w:highlight w:val="none"/>
        </w:rPr>
        <w:t xml:space="preserve">投  标  文  件</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69"/>
        <w:ind w:firstLine="1084"/>
        <w:jc w:val="both"/>
        <w:spacing w:beforeAutospacing="0" w:afterAutospacing="0"/>
        <w:rPr>
          <w:rFonts w:hint="eastAsia" w:ascii="宋体" w:hAnsi="宋体" w:eastAsia="宋体" w:cs="宋体"/>
          <w:b/>
          <w:bCs/>
          <w:color w:val="000000"/>
          <w:sz w:val="36"/>
          <w:szCs w:val="36"/>
          <w:highlight w:val="none"/>
          <w:u w:val="singl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highlight w:val="none"/>
        </w:rPr>
      </w:r>
      <w:r/>
    </w:p>
    <w:p>
      <w:pPr>
        <w:pStyle w:val="869"/>
        <w:ind w:firstLine="1084"/>
        <w:jc w:val="both"/>
        <w:spacing w:beforeAutospacing="0" w:afterAutospacing="0"/>
        <w:rPr>
          <w:rFonts w:hint="eastAsia" w:ascii="宋体" w:hAnsi="宋体" w:eastAsia="宋体" w:cs="宋体"/>
          <w:b/>
          <w:bCs/>
          <w:color w:val="000000"/>
          <w:sz w:val="36"/>
          <w:szCs w:val="36"/>
          <w:highlight w:val="none"/>
          <w:u w:val="single"/>
        </w:rPr>
      </w:pPr>
      <w:r>
        <w:rPr>
          <w:rFonts w:hint="eastAsia" w:ascii="宋体" w:hAnsi="宋体" w:eastAsia="宋体" w:cs="宋体"/>
          <w:b/>
          <w:color w:val="000000"/>
          <w:sz w:val="36"/>
          <w:szCs w:val="36"/>
          <w:highlight w:val="none"/>
          <w:u w:val="single"/>
        </w:rPr>
      </w: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rPr>
        <w:t xml:space="preserve">（加盖CA电子公章）</w:t>
      </w:r>
      <w:r>
        <w:rPr>
          <w:highlight w:val="none"/>
        </w:rPr>
      </w:r>
      <w:r/>
    </w:p>
    <w:p>
      <w:pPr>
        <w:pStyle w:val="869"/>
        <w:ind w:firstLine="1084"/>
        <w:jc w:val="both"/>
        <w:spacing w:beforeAutospacing="0" w:afterAutospacing="0"/>
        <w:rPr>
          <w:highlight w:val="none"/>
        </w:rPr>
      </w:pPr>
      <w:r>
        <w:rPr>
          <w:rFonts w:hint="eastAsia" w:ascii="宋体" w:hAnsi="宋体" w:eastAsia="宋体" w:cs="宋体"/>
          <w:b/>
          <w:color w:val="000000"/>
          <w:sz w:val="36"/>
          <w:szCs w:val="36"/>
          <w:highlight w:val="none"/>
          <w:u w:val="single"/>
        </w:rPr>
      </w: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shd w:val="nil" w:color="auto"/>
        <w:rPr>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869"/>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投标文件目录</w:t>
      </w:r>
      <w:r/>
    </w:p>
    <w:p>
      <w:pPr>
        <w:pStyle w:val="869"/>
        <w:jc w:val="center"/>
        <w:spacing w:beforeAutospacing="0" w:afterAutospacing="0" w:line="0" w:lineRule="atLeast"/>
        <w:rPr>
          <w:highlight w:val="none"/>
        </w:rPr>
      </w:pPr>
      <w:r>
        <w:rPr>
          <w:highlight w:val="none"/>
        </w:rPr>
        <w:t xml:space="preserve"> </w:t>
      </w:r>
      <w:r/>
    </w:p>
    <w:p>
      <w:pPr>
        <w:pStyle w:val="89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left="0" w:firstLine="480"/>
        <w:jc w:val="left"/>
        <w:keepLines w:val="0"/>
        <w:keepNext w:val="0"/>
        <w:pageBreakBefore w:val="0"/>
        <w:spacing w:line="480" w:lineRule="exac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w:t>
      </w:r>
      <w:r>
        <w:rPr>
          <w:rFonts w:hint="eastAsia" w:ascii="宋体" w:hAnsi="宋体" w:eastAsia="宋体" w:cs="宋体"/>
          <w:b/>
          <w:bCs/>
          <w:i w:val="0"/>
          <w:iCs/>
          <w:color w:val="0000ff"/>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color w:val="000000"/>
          <w:highlight w:val="none"/>
          <w:u w:val="none"/>
        </w:rPr>
        <w:t xml:space="preserve">）</w:t>
      </w:r>
      <w:r/>
    </w:p>
    <w:p>
      <w:pPr>
        <w:pStyle w:val="892"/>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92"/>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w:t>
      </w:r>
      <w:r>
        <w:rPr>
          <w:rFonts w:hint="eastAsia" w:ascii="宋体" w:hAnsi="宋体" w:eastAsia="宋体" w:cs="宋体"/>
          <w:b/>
          <w:bCs/>
          <w:i w:val="0"/>
          <w:iCs/>
          <w:color w:val="0000ff"/>
          <w:highlight w:val="none"/>
          <w:u w:val="none"/>
        </w:rPr>
        <w:t xml:space="preserve">依法缴纳税收</w:t>
      </w:r>
      <w:r>
        <w:rPr>
          <w:rFonts w:hint="eastAsia" w:ascii="宋体" w:hAnsi="宋体" w:eastAsia="宋体" w:cs="宋体"/>
          <w:i w:val="0"/>
          <w:iCs/>
          <w:color w:val="000000"/>
          <w:highlight w:val="none"/>
          <w:u w:val="none"/>
        </w:rPr>
        <w:t xml:space="preserve">及</w:t>
      </w:r>
      <w:r>
        <w:rPr>
          <w:rFonts w:hint="eastAsia" w:ascii="宋体" w:hAnsi="宋体" w:eastAsia="宋体" w:cs="宋体"/>
          <w:b/>
          <w:bCs/>
          <w:i w:val="0"/>
          <w:iCs/>
          <w:color w:val="0000ff"/>
          <w:highlight w:val="none"/>
          <w:u w:val="none"/>
        </w:rPr>
        <w:t xml:space="preserve">缴纳社会保障资金</w:t>
      </w:r>
      <w:r>
        <w:rPr>
          <w:rFonts w:hint="eastAsia" w:ascii="宋体" w:hAnsi="宋体" w:eastAsia="宋体" w:cs="宋体"/>
          <w:i w:val="0"/>
          <w:iCs/>
          <w:color w:val="000000"/>
          <w:highlight w:val="none"/>
          <w:u w:val="none"/>
        </w:rPr>
        <w:t xml:space="preserve">的证明材料。投标人依法享受缓缴、免缴税收、社会保障资金的提供证明材料。）</w:t>
      </w:r>
      <w:r/>
    </w:p>
    <w:p>
      <w:pPr>
        <w:pStyle w:val="89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69"/>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9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89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八、投标函</w:t>
      </w:r>
      <w:r/>
    </w:p>
    <w:p>
      <w:pPr>
        <w:pStyle w:val="89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p>
    <w:p>
      <w:pPr>
        <w:pStyle w:val="89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9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十一、联合体协议</w:t>
      </w:r>
      <w:r/>
    </w:p>
    <w:p>
      <w:pPr>
        <w:pStyle w:val="89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十二、投标分项报价表</w:t>
      </w:r>
      <w:r/>
    </w:p>
    <w:p>
      <w:pPr>
        <w:pStyle w:val="89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十三、技术要求响应及偏离表</w:t>
      </w:r>
      <w:r/>
    </w:p>
    <w:p>
      <w:pPr>
        <w:pStyle w:val="892"/>
        <w:ind w:left="0" w:firstLine="480"/>
        <w:jc w:val="both"/>
        <w:keepLines w:val="0"/>
        <w:keepNext w:val="0"/>
        <w:pageBreakBefore w:val="0"/>
        <w:spacing w:beforeAutospacing="0" w:afterAutospacing="0" w:line="480" w:lineRule="exact"/>
        <w:rPr>
          <w:i w:val="0"/>
          <w:iCs/>
          <w:highlight w:val="none"/>
          <w:u w:val="none"/>
        </w:rPr>
      </w:pPr>
      <w:r>
        <w:rPr>
          <w:rFonts w:hint="eastAsia" w:ascii="宋体" w:hAnsi="宋体" w:eastAsia="宋体" w:cs="宋体"/>
          <w:i w:val="0"/>
          <w:iCs/>
          <w:color w:val="000000"/>
          <w:highlight w:val="none"/>
          <w:u w:val="none"/>
        </w:rPr>
        <w:t xml:space="preserve">十四、商务要求响应及偏离表</w:t>
      </w:r>
      <w:r/>
    </w:p>
    <w:p>
      <w:pPr>
        <w:pStyle w:val="892"/>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十五、开标一览表</w:t>
      </w:r>
      <w:r/>
    </w:p>
    <w:p>
      <w:pPr>
        <w:ind w:left="0" w:firstLine="480"/>
        <w:keepLines w:val="0"/>
        <w:keepNext w:val="0"/>
        <w:pageBreakBefore w:val="0"/>
        <w:spacing w:line="480" w:lineRule="exact"/>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十六、根据招标文件“第五章 评标方法与评标标准”的要求需要提供及投标人认为有必要提供的其他材料</w:t>
      </w:r>
      <w:r/>
    </w:p>
    <w:p>
      <w:pPr>
        <w:pStyle w:val="892"/>
        <w:ind w:left="0" w:firstLine="480"/>
        <w:jc w:val="both"/>
        <w:keepLines w:val="0"/>
        <w:keepNext w:val="0"/>
        <w:pageBreakBefore w:val="0"/>
        <w:spacing w:beforeAutospacing="0" w:afterAutospacing="0" w:line="48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p>
    <w:p>
      <w:pPr>
        <w:pStyle w:val="892"/>
        <w:ind w:firstLine="480"/>
        <w:jc w:val="both"/>
        <w:spacing w:beforeAutospacing="0" w:afterAutospacing="0" w:line="0" w:lineRule="atLeast"/>
        <w:rPr>
          <w:sz w:val="28"/>
          <w:szCs w:val="28"/>
          <w:highlight w:val="none"/>
        </w:rPr>
      </w:pPr>
      <w:r>
        <w:rPr>
          <w:sz w:val="28"/>
          <w:szCs w:val="28"/>
          <w:highlight w:val="none"/>
        </w:rPr>
      </w:r>
      <w:r/>
    </w:p>
    <w:p>
      <w:pPr>
        <w:pStyle w:val="892"/>
        <w:ind w:firstLine="0"/>
        <w:jc w:val="both"/>
        <w:keepLines w:val="0"/>
        <w:keepNext w:val="0"/>
        <w:pageBreakBefore w:val="0"/>
        <w:spacing w:beforeAutospacing="0" w:afterAutospacing="0" w:line="360" w:lineRule="auto"/>
        <w:widowControl w:val="off"/>
        <w:rPr>
          <w:rFonts w:hint="eastAsia" w:ascii="宋体" w:hAnsi="宋体" w:eastAsia="宋体" w:cs="宋体"/>
          <w:b/>
          <w:bCs/>
          <w:color w:val="0000ff"/>
          <w:sz w:val="22"/>
          <w:szCs w:val="22"/>
        </w:rPr>
      </w:pPr>
      <w:r>
        <w:rPr>
          <w:rFonts w:hint="eastAsia" w:ascii="宋体" w:hAnsi="宋体" w:eastAsia="宋体" w:cs="宋体"/>
          <w:b/>
          <w:bCs/>
          <w:color w:val="0000ff"/>
          <w:sz w:val="22"/>
          <w:szCs w:val="22"/>
        </w:rPr>
        <w:t xml:space="preserve">特别提示：电子投标文件制作时建议将本项目投标文件“封面”上传至“目录”项内。</w:t>
      </w:r>
      <w:r/>
    </w:p>
    <w:p>
      <w:pPr>
        <w:pStyle w:val="869"/>
        <w:ind w:firstLine="480"/>
        <w:jc w:val="both"/>
        <w:spacing w:beforeAutospacing="0" w:afterAutospacing="0" w:line="0" w:lineRule="atLeast"/>
        <w:rPr>
          <w:highlight w:val="none"/>
        </w:rPr>
      </w:pPr>
      <w:r>
        <w:rPr>
          <w:highlight w:val="none"/>
        </w:rPr>
        <w:t xml:space="preserve"> </w:t>
      </w:r>
      <w:r/>
    </w:p>
    <w:p>
      <w:pPr>
        <w:pStyle w:val="869"/>
        <w:ind w:firstLine="480"/>
        <w:jc w:val="both"/>
        <w:spacing w:beforeAutospacing="0" w:afterAutospacing="0" w:line="0" w:lineRule="atLeast"/>
        <w:rPr>
          <w:highlight w:val="none"/>
        </w:rPr>
      </w:pPr>
      <w:r>
        <w:rPr>
          <w:highlight w:val="none"/>
        </w:rPr>
        <w:t xml:space="preserve"> </w:t>
      </w:r>
      <w:r/>
    </w:p>
    <w:p>
      <w:pPr>
        <w:pStyle w:val="869"/>
        <w:ind w:firstLine="480"/>
        <w:jc w:val="both"/>
        <w:spacing w:beforeAutospacing="0" w:afterAutospacing="0" w:line="0" w:lineRule="atLeast"/>
        <w:rPr>
          <w:highlight w:val="none"/>
        </w:rPr>
      </w:pPr>
      <w:r>
        <w:rPr>
          <w:highlight w:val="none"/>
        </w:rPr>
        <w:t xml:space="preserve"> </w:t>
      </w:r>
      <w:r/>
    </w:p>
    <w:p>
      <w:pPr>
        <w:pStyle w:val="869"/>
        <w:ind w:firstLine="480"/>
        <w:jc w:val="both"/>
        <w:spacing w:beforeAutospacing="0" w:afterAutospacing="0" w:line="0" w:lineRule="atLeast"/>
        <w:rPr>
          <w:highlight w:val="none"/>
        </w:rPr>
      </w:pPr>
      <w:r>
        <w:rPr>
          <w:highlight w:val="none"/>
        </w:rPr>
        <w:t xml:space="preserve"> </w:t>
      </w:r>
      <w:r/>
    </w:p>
    <w:p>
      <w:pPr>
        <w:pStyle w:val="869"/>
        <w:ind w:firstLine="0"/>
        <w:jc w:val="both"/>
        <w:spacing w:beforeAutospacing="0" w:afterAutospacing="0" w:line="0" w:lineRule="atLeast"/>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rPr>
          <w:highlight w:val="none"/>
        </w:rPr>
      </w:r>
      <w:r/>
    </w:p>
    <w:p>
      <w:pPr>
        <w:pStyle w:val="869"/>
        <w:ind w:firstLine="480"/>
        <w:jc w:val="both"/>
        <w:spacing w:beforeAutospacing="0" w:afterAutospacing="0" w:line="0" w:lineRule="atLeast"/>
        <w:rPr>
          <w:highlight w:val="none"/>
        </w:rPr>
      </w:pPr>
      <w:r>
        <w:rPr>
          <w:highlight w:val="none"/>
        </w:rPr>
        <w:t xml:space="preserve"> </w:t>
      </w:r>
      <w:r/>
    </w:p>
    <w:p>
      <w:pPr>
        <w:pStyle w:val="869"/>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iCs w:val="0"/>
          <w:color w:val="0000ff"/>
          <w:highlight w:val="none"/>
          <w:u w:val="single"/>
        </w:rPr>
      </w:pPr>
      <w:r>
        <w:rPr>
          <w:rFonts w:hint="eastAsia" w:ascii="宋体" w:hAnsi="宋体" w:eastAsia="宋体" w:cs="宋体"/>
          <w:i/>
          <w:iCs w:val="0"/>
          <w:color w:val="0000ff"/>
          <w:sz w:val="24"/>
          <w:szCs w:val="24"/>
          <w:highlight w:val="none"/>
          <w:u w:val="single"/>
          <w:lang w:val="en-US" w:eastAsia="zh-CN" w:bidi="ar-SA"/>
        </w:rPr>
        <w:t xml:space="preserve">（至少提供资产负债表、利润表、现金流量表，</w:t>
      </w:r>
      <w:r>
        <w:rPr>
          <w:rFonts w:hint="eastAsia" w:ascii="宋体" w:hAnsi="宋体" w:eastAsia="宋体" w:cs="宋体"/>
          <w:i/>
          <w:iCs w:val="0"/>
          <w:color w:val="0000ff"/>
          <w:highlight w:val="none"/>
          <w:u w:val="single"/>
        </w:rPr>
        <w:t xml:space="preserve">投标人成立不满一年无需提供）</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69"/>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69"/>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9"/>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69"/>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69"/>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6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69"/>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69"/>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69"/>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69"/>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69"/>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rPr>
          <w:rFonts w:hint="eastAsia" w:ascii="黑体" w:hAnsi="宋体" w:eastAsia="黑体" w:cs="黑体"/>
          <w:i/>
          <w:color w:val="000000"/>
          <w:sz w:val="32"/>
          <w:szCs w:val="32"/>
          <w:highlight w:val="none"/>
          <w:u w:val="single"/>
        </w:rPr>
      </w:pPr>
      <w:r/>
      <w:bookmarkStart w:id="185" w:name="_Toc120614284"/>
      <w:r>
        <w:rPr>
          <w:rFonts w:hint="eastAsia" w:ascii="黑体" w:hAnsi="宋体" w:eastAsia="黑体" w:cs="黑体"/>
          <w:i/>
          <w:color w:val="000000"/>
          <w:sz w:val="32"/>
          <w:szCs w:val="32"/>
          <w:highlight w:val="none"/>
          <w:u w:val="single"/>
        </w:rPr>
        <w:br w:type="page" w:clear="all"/>
      </w:r>
      <w:r/>
    </w:p>
    <w:p>
      <w:pPr>
        <w:pStyle w:val="869"/>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69"/>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69"/>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69"/>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69"/>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69"/>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69"/>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69"/>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6" w:name="_Hlt26955070"/>
      <w:r/>
      <w:bookmarkStart w:id="187" w:name="_Hlt26671380"/>
      <w:r/>
      <w:bookmarkStart w:id="188" w:name="_格式3__银行出具的资信证明"/>
      <w:r>
        <w:rPr>
          <w:rFonts w:ascii="Times New Roman" w:hAnsi="Times New Roman"/>
          <w:color w:val="000000"/>
          <w:highlight w:val="none"/>
          <w:u w:val="single"/>
        </w:rPr>
        <w:t xml:space="preserve">                                         </w:t>
      </w:r>
      <w:r/>
    </w:p>
    <w:p>
      <w:pPr>
        <w:pStyle w:val="869"/>
        <w:ind w:firstLine="420"/>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line="0" w:lineRule="atLeast"/>
        <w:rPr>
          <w:highlight w:val="none"/>
          <w:shd w:val="clear" w:color="auto" w:fill="auto"/>
        </w:rPr>
      </w:pPr>
      <w:r>
        <w:rPr>
          <w:highlight w:val="none"/>
          <w:shd w:val="clear" w:color="auto" w:fill="auto"/>
        </w:rPr>
        <w:t xml:space="preserve"> </w:t>
      </w:r>
      <w:r/>
    </w:p>
    <w:p>
      <w:pPr>
        <w:pStyle w:val="869"/>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869"/>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江苏省盐城技师学院</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69"/>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69"/>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6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6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6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6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6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6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69"/>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69"/>
        <w:ind w:firstLine="240"/>
        <w:jc w:val="center"/>
        <w:spacing w:beforeAutospacing="0" w:afterAutospacing="0" w:line="0" w:lineRule="atLeast"/>
        <w:rPr>
          <w:highlight w:val="none"/>
        </w:rPr>
      </w:pPr>
      <w:r>
        <w:rPr>
          <w:highlight w:val="none"/>
        </w:rPr>
        <w:t xml:space="preserve"> </w:t>
      </w:r>
      <w:r/>
    </w:p>
    <w:p>
      <w:pPr>
        <w:pStyle w:val="869"/>
        <w:ind w:firstLine="240"/>
        <w:jc w:val="center"/>
        <w:spacing w:beforeAutospacing="0" w:afterAutospacing="0" w:line="0" w:lineRule="atLeast"/>
        <w:rPr>
          <w:highlight w:val="none"/>
        </w:rPr>
      </w:pPr>
      <w:r>
        <w:rPr>
          <w:highlight w:val="none"/>
        </w:rPr>
        <w:t xml:space="preserve"> </w:t>
      </w:r>
      <w:r/>
    </w:p>
    <w:p>
      <w:pPr>
        <w:pStyle w:val="869"/>
        <w:ind w:firstLine="240"/>
        <w:jc w:val="center"/>
        <w:spacing w:beforeAutospacing="0" w:afterAutospacing="0" w:line="0" w:lineRule="atLeast"/>
        <w:rPr>
          <w:highlight w:val="none"/>
        </w:rPr>
      </w:pPr>
      <w:r>
        <w:rPr>
          <w:highlight w:val="none"/>
        </w:rPr>
        <w:t xml:space="preserve"> </w:t>
      </w:r>
      <w:r/>
    </w:p>
    <w:p>
      <w:pPr>
        <w:pStyle w:val="869"/>
        <w:ind w:firstLine="240"/>
        <w:jc w:val="center"/>
        <w:spacing w:beforeAutospacing="0" w:afterAutospacing="0" w:line="0" w:lineRule="atLeast"/>
        <w:rPr>
          <w:highlight w:val="none"/>
        </w:rPr>
      </w:pPr>
      <w:r>
        <w:rPr>
          <w:highlight w:val="none"/>
        </w:rPr>
        <w:t xml:space="preserve"> </w:t>
      </w:r>
      <w:r/>
    </w:p>
    <w:p>
      <w:pPr>
        <w:pStyle w:val="869"/>
        <w:ind w:firstLine="240"/>
        <w:jc w:val="center"/>
        <w:spacing w:beforeAutospacing="0" w:afterAutospacing="0" w:line="0" w:lineRule="atLeast"/>
        <w:rPr>
          <w:highlight w:val="none"/>
        </w:rPr>
      </w:pPr>
      <w:r>
        <w:rPr>
          <w:highlight w:val="none"/>
        </w:rPr>
      </w:r>
      <w:r/>
    </w:p>
    <w:p>
      <w:pPr>
        <w:pStyle w:val="869"/>
        <w:ind w:firstLine="240"/>
        <w:jc w:val="center"/>
        <w:spacing w:beforeAutospacing="0" w:afterAutospacing="0" w:line="0" w:lineRule="atLeast"/>
        <w:rPr>
          <w:highlight w:val="none"/>
        </w:rPr>
      </w:pPr>
      <w:r>
        <w:rPr>
          <w:highlight w:val="none"/>
        </w:rPr>
      </w:r>
      <w:r/>
    </w:p>
    <w:p>
      <w:pPr>
        <w:pStyle w:val="869"/>
        <w:ind w:firstLine="240"/>
        <w:jc w:val="center"/>
        <w:spacing w:beforeAutospacing="0" w:afterAutospacing="0" w:line="0" w:lineRule="atLeast"/>
        <w:rPr>
          <w:highlight w:val="none"/>
        </w:rPr>
      </w:pPr>
      <w:r>
        <w:rPr>
          <w:highlight w:val="none"/>
        </w:rPr>
      </w:r>
      <w:r/>
    </w:p>
    <w:p>
      <w:pPr>
        <w:pStyle w:val="869"/>
        <w:ind w:firstLine="240"/>
        <w:jc w:val="center"/>
        <w:spacing w:beforeAutospacing="0" w:afterAutospacing="0" w:line="0" w:lineRule="atLeast"/>
        <w:rPr>
          <w:highlight w:val="none"/>
        </w:rPr>
      </w:pPr>
      <w:r>
        <w:rPr>
          <w:highlight w:val="none"/>
        </w:rPr>
      </w:r>
      <w:r/>
    </w:p>
    <w:p>
      <w:pPr>
        <w:pStyle w:val="869"/>
        <w:ind w:firstLine="240"/>
        <w:jc w:val="center"/>
        <w:spacing w:beforeAutospacing="0" w:afterAutospacing="0" w:line="0" w:lineRule="atLeast"/>
        <w:rPr>
          <w:highlight w:val="none"/>
        </w:rPr>
      </w:pPr>
      <w:r>
        <w:rPr>
          <w:highlight w:val="none"/>
        </w:rPr>
      </w:r>
      <w:r/>
    </w:p>
    <w:p>
      <w:pPr>
        <w:pStyle w:val="869"/>
        <w:ind w:firstLine="240"/>
        <w:jc w:val="center"/>
        <w:spacing w:beforeAutospacing="0" w:afterAutospacing="0" w:line="0" w:lineRule="atLeast"/>
        <w:rPr>
          <w:highlight w:val="none"/>
        </w:rPr>
      </w:pPr>
      <w:r>
        <w:rPr>
          <w:highlight w:val="none"/>
        </w:rPr>
      </w:r>
      <w:r/>
    </w:p>
    <w:p>
      <w:pPr>
        <w:pStyle w:val="869"/>
        <w:ind w:firstLine="240"/>
        <w:jc w:val="center"/>
        <w:spacing w:beforeAutospacing="0" w:afterAutospacing="0" w:line="0" w:lineRule="atLeast"/>
        <w:rPr>
          <w:highlight w:val="none"/>
        </w:rPr>
      </w:pPr>
      <w:r>
        <w:rPr>
          <w:highlight w:val="none"/>
        </w:rPr>
      </w:r>
      <w:r/>
    </w:p>
    <w:p>
      <w:pPr>
        <w:pStyle w:val="869"/>
        <w:ind w:firstLine="240"/>
        <w:jc w:val="center"/>
        <w:spacing w:beforeAutospacing="0" w:afterAutospacing="0" w:line="0" w:lineRule="atLeast"/>
        <w:rPr>
          <w:highlight w:val="none"/>
        </w:rPr>
      </w:pPr>
      <w:r>
        <w:rPr>
          <w:highlight w:val="none"/>
        </w:rPr>
      </w:r>
      <w:r/>
    </w:p>
    <w:p>
      <w:pPr>
        <w:pStyle w:val="869"/>
        <w:ind w:firstLine="240"/>
        <w:jc w:val="center"/>
        <w:spacing w:beforeAutospacing="0" w:afterAutospacing="0" w:line="0" w:lineRule="atLeast"/>
        <w:rPr>
          <w:highlight w:val="none"/>
        </w:rPr>
      </w:pPr>
      <w:r>
        <w:rPr>
          <w:highlight w:val="none"/>
        </w:rPr>
      </w:r>
      <w:r/>
    </w:p>
    <w:p>
      <w:pPr>
        <w:pStyle w:val="869"/>
        <w:ind w:firstLine="240"/>
        <w:jc w:val="center"/>
        <w:spacing w:beforeAutospacing="0" w:afterAutospacing="0" w:line="0" w:lineRule="atLeast"/>
        <w:rPr>
          <w:highlight w:val="none"/>
        </w:rPr>
      </w:pPr>
      <w:r>
        <w:rPr>
          <w:highlight w:val="none"/>
        </w:rPr>
      </w:r>
      <w:r/>
    </w:p>
    <w:p>
      <w:pPr>
        <w:pStyle w:val="869"/>
        <w:ind w:firstLine="240"/>
        <w:jc w:val="center"/>
        <w:spacing w:beforeAutospacing="0" w:afterAutospacing="0" w:line="0" w:lineRule="atLeast"/>
        <w:rPr>
          <w:highlight w:val="none"/>
        </w:rPr>
      </w:pPr>
      <w:r>
        <w:rPr>
          <w:highlight w:val="none"/>
        </w:rPr>
      </w:r>
      <w:r/>
    </w:p>
    <w:p>
      <w:pPr>
        <w:pStyle w:val="869"/>
        <w:ind w:firstLine="240"/>
        <w:jc w:val="center"/>
        <w:spacing w:beforeAutospacing="0" w:afterAutospacing="0" w:line="0" w:lineRule="atLeast"/>
        <w:rPr>
          <w:highlight w:val="none"/>
        </w:rPr>
      </w:pPr>
      <w:r>
        <w:rPr>
          <w:highlight w:val="none"/>
        </w:rPr>
      </w:r>
      <w:r/>
    </w:p>
    <w:p>
      <w:pPr>
        <w:pStyle w:val="869"/>
        <w:ind w:firstLine="240"/>
        <w:jc w:val="center"/>
        <w:spacing w:beforeAutospacing="0" w:afterAutospacing="0" w:line="0" w:lineRule="atLeast"/>
        <w:rPr>
          <w:highlight w:val="none"/>
        </w:rPr>
      </w:pPr>
      <w:r>
        <w:rPr>
          <w:highlight w:val="none"/>
        </w:rPr>
        <w:t xml:space="preserve"> </w:t>
      </w:r>
      <w:r/>
    </w:p>
    <w:p>
      <w:pPr>
        <w:pStyle w:val="86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eastAsia="zh-CN"/>
        </w:rPr>
        <w:t xml:space="preserve">江苏建威建设管理有限公司</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69"/>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69"/>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69"/>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69"/>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69"/>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869"/>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869"/>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86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9"/>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9"/>
        <w:jc w:val="center"/>
        <w:spacing w:beforeAutospacing="0" w:afterAutospacing="0" w:line="0" w:lineRule="atLeast"/>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 </w:t>
      </w:r>
      <w:r>
        <w:rPr>
          <w:highlight w:val="none"/>
        </w:rPr>
      </w:r>
      <w:r/>
    </w:p>
    <w:p>
      <w:pPr>
        <w:shd w:val="nil" w:color="auto"/>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r>
      <w:r/>
    </w:p>
    <w:p>
      <w:pPr>
        <w:pStyle w:val="869"/>
        <w:jc w:val="center"/>
        <w:spacing w:beforeAutospacing="0" w:afterAutospacing="0" w:line="0" w:lineRule="atLeast"/>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十、残疾人福利性单位声明函（分包号：**）</w:t>
      </w:r>
      <w:r/>
    </w:p>
    <w:p>
      <w:pPr>
        <w:pStyle w:val="86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86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69"/>
        <w:ind w:firstLine="480"/>
        <w:jc w:val="both"/>
        <w:spacing w:beforeAutospacing="0" w:afterAutospacing="0" w:line="0" w:lineRule="atLeast"/>
        <w:rPr>
          <w:highlight w:val="none"/>
        </w:rPr>
      </w:pPr>
      <w:r>
        <w:rPr>
          <w:highlight w:val="none"/>
        </w:rPr>
        <w:t xml:space="preserve"> </w:t>
      </w:r>
      <w:r/>
    </w:p>
    <w:p>
      <w:pPr>
        <w:pStyle w:val="869"/>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69"/>
        <w:ind w:firstLine="624"/>
        <w:jc w:val="both"/>
        <w:spacing w:beforeAutospacing="0" w:afterAutospacing="0" w:line="0" w:lineRule="atLeast"/>
        <w:rPr>
          <w:highlight w:val="none"/>
        </w:rPr>
      </w:pPr>
      <w:r>
        <w:rPr>
          <w:highlight w:val="none"/>
        </w:rPr>
        <w:t xml:space="preserve"> </w:t>
      </w:r>
      <w:r/>
    </w:p>
    <w:p>
      <w:pPr>
        <w:pStyle w:val="869"/>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69"/>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69"/>
        <w:jc w:val="center"/>
        <w:spacing w:beforeAutospacing="0" w:afterAutospacing="0" w:line="0" w:lineRule="atLeast"/>
        <w:rPr>
          <w:highlight w:val="none"/>
        </w:rPr>
      </w:pPr>
      <w:r>
        <w:rPr>
          <w:highlight w:val="none"/>
        </w:rPr>
        <w:t xml:space="preserve"> </w:t>
      </w:r>
      <w:r/>
    </w:p>
    <w:p>
      <w:pPr>
        <w:pStyle w:val="869"/>
        <w:jc w:val="center"/>
        <w:spacing w:beforeAutospacing="0" w:afterAutospacing="0" w:line="0" w:lineRule="atLeast"/>
        <w:rPr>
          <w:highlight w:val="none"/>
        </w:rPr>
      </w:pPr>
      <w:r>
        <w:rPr>
          <w:highlight w:val="none"/>
        </w:rPr>
        <w:t xml:space="preserve"> </w:t>
      </w:r>
      <w:r/>
    </w:p>
    <w:p>
      <w:pPr>
        <w:pStyle w:val="869"/>
        <w:jc w:val="center"/>
        <w:spacing w:beforeAutospacing="0" w:afterAutospacing="0" w:line="0" w:lineRule="atLeast"/>
        <w:rPr>
          <w:highlight w:val="none"/>
        </w:rPr>
      </w:pPr>
      <w:r>
        <w:rPr>
          <w:highlight w:val="none"/>
        </w:rPr>
        <w:t xml:space="preserve"> </w:t>
      </w:r>
      <w:r/>
    </w:p>
    <w:p>
      <w:pPr>
        <w:pStyle w:val="869"/>
        <w:jc w:val="center"/>
        <w:spacing w:beforeAutospacing="0" w:afterAutospacing="0" w:line="0" w:lineRule="atLeast"/>
        <w:rPr>
          <w:highlight w:val="none"/>
        </w:rPr>
      </w:pPr>
      <w:r>
        <w:rPr>
          <w:highlight w:val="none"/>
        </w:rPr>
        <w:t xml:space="preserve"> </w:t>
      </w:r>
      <w:r/>
    </w:p>
    <w:p>
      <w:pPr>
        <w:pStyle w:val="869"/>
        <w:jc w:val="center"/>
        <w:spacing w:beforeAutospacing="0" w:afterAutospacing="0" w:line="0" w:lineRule="atLeast"/>
        <w:rPr>
          <w:highlight w:val="none"/>
        </w:rPr>
      </w:pPr>
      <w:r>
        <w:rPr>
          <w:highlight w:val="none"/>
        </w:rPr>
        <w:t xml:space="preserve"> </w:t>
      </w:r>
      <w:r/>
    </w:p>
    <w:p>
      <w:pPr>
        <w:pStyle w:val="869"/>
        <w:jc w:val="center"/>
        <w:spacing w:beforeAutospacing="0" w:afterAutospacing="0" w:line="0" w:lineRule="atLeast"/>
        <w:rPr>
          <w:highlight w:val="none"/>
        </w:rPr>
      </w:pPr>
      <w:r>
        <w:rPr>
          <w:highlight w:val="none"/>
        </w:rPr>
        <w:t xml:space="preserve"> </w:t>
      </w:r>
      <w:r/>
    </w:p>
    <w:p>
      <w:pPr>
        <w:pStyle w:val="869"/>
        <w:jc w:val="center"/>
        <w:spacing w:beforeAutospacing="0" w:afterAutospacing="0" w:line="0" w:lineRule="atLeast"/>
        <w:rPr>
          <w:highlight w:val="none"/>
        </w:rPr>
      </w:pPr>
      <w:r>
        <w:rPr>
          <w:highlight w:val="none"/>
        </w:rPr>
        <w:t xml:space="preserve"> </w:t>
      </w:r>
      <w:r/>
    </w:p>
    <w:p>
      <w:pPr>
        <w:pStyle w:val="869"/>
        <w:jc w:val="center"/>
        <w:spacing w:beforeAutospacing="0" w:afterAutospacing="0" w:line="0" w:lineRule="atLeast"/>
        <w:rPr>
          <w:highlight w:val="none"/>
        </w:rPr>
      </w:pPr>
      <w:r>
        <w:rPr>
          <w:highlight w:val="none"/>
        </w:rPr>
        <w:t xml:space="preserve"> </w:t>
      </w:r>
      <w:r/>
    </w:p>
    <w:p>
      <w:pPr>
        <w:pStyle w:val="869"/>
        <w:jc w:val="center"/>
        <w:spacing w:beforeAutospacing="0" w:afterAutospacing="0" w:line="0" w:lineRule="atLeast"/>
        <w:rPr>
          <w:highlight w:val="none"/>
        </w:rPr>
      </w:pPr>
      <w:r>
        <w:rPr>
          <w:highlight w:val="none"/>
        </w:rPr>
        <w:t xml:space="preserve"> </w:t>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r>
      <w:r/>
    </w:p>
    <w:p>
      <w:pPr>
        <w:pStyle w:val="869"/>
        <w:jc w:val="center"/>
        <w:spacing w:beforeAutospacing="0" w:afterAutospacing="0" w:line="0" w:lineRule="atLeast"/>
        <w:rPr>
          <w:highlight w:val="none"/>
        </w:rPr>
      </w:pPr>
      <w:r>
        <w:rPr>
          <w:highlight w:val="none"/>
        </w:rPr>
        <w:t xml:space="preserve"> </w:t>
      </w:r>
      <w:r/>
    </w:p>
    <w:p>
      <w:pPr>
        <w:pStyle w:val="869"/>
        <w:jc w:val="center"/>
        <w:spacing w:beforeAutospacing="0" w:afterAutospacing="0" w:line="0" w:lineRule="atLeast"/>
        <w:rPr>
          <w:highlight w:val="none"/>
        </w:rPr>
      </w:pPr>
      <w:r>
        <w:rPr>
          <w:highlight w:val="none"/>
        </w:rPr>
        <w:t xml:space="preserve"> </w:t>
      </w:r>
      <w:r/>
    </w:p>
    <w:p>
      <w:pPr>
        <w:pStyle w:val="869"/>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十一、联合体协议（参考格式）（分包号：**）</w:t>
      </w:r>
      <w:r/>
    </w:p>
    <w:p>
      <w:pPr>
        <w:pStyle w:val="869"/>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86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eastAsia="zh-CN"/>
        </w:rPr>
        <w:t xml:space="preserve">江苏建威建设管理有限公司</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6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9"/>
        <w:ind w:firstLine="645"/>
        <w:jc w:val="both"/>
        <w:spacing w:beforeAutospacing="0" w:afterAutospacing="0" w:line="0" w:lineRule="atLeast"/>
        <w:rPr>
          <w:highlight w:val="none"/>
        </w:rPr>
      </w:pPr>
      <w:r>
        <w:rPr>
          <w:highlight w:val="none"/>
        </w:rPr>
        <w:t xml:space="preserve"> </w:t>
      </w:r>
      <w:r/>
    </w:p>
    <w:p>
      <w:pPr>
        <w:pStyle w:val="86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6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869"/>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869"/>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pStyle w:val="869"/>
        <w:ind w:firstLine="645"/>
        <w:jc w:val="both"/>
        <w:spacing w:beforeAutospacing="0" w:afterAutospacing="0" w:line="0" w:lineRule="atLeast"/>
        <w:rPr>
          <w:highlight w:val="none"/>
        </w:rPr>
      </w:pPr>
      <w:r>
        <w:rPr>
          <w:highlight w:val="none"/>
        </w:rPr>
        <w:t xml:space="preserve"> </w:t>
      </w:r>
      <w:r/>
    </w:p>
    <w:p>
      <w:pPr>
        <w:pStyle w:val="869"/>
        <w:jc w:val="both"/>
        <w:spacing w:beforeAutospacing="0" w:afterAutospacing="0" w:line="0" w:lineRule="atLeast"/>
        <w:rPr>
          <w:highlight w:val="none"/>
        </w:rPr>
      </w:pPr>
      <w:r>
        <w:rPr>
          <w:highlight w:val="none"/>
        </w:rPr>
        <w:t xml:space="preserve"> </w:t>
      </w:r>
      <w:r/>
    </w:p>
    <w:p>
      <w:pPr>
        <w:pStyle w:val="869"/>
        <w:jc w:val="both"/>
        <w:spacing w:beforeAutospacing="0" w:afterAutospacing="0" w:line="0" w:lineRule="atLeast"/>
        <w:rPr>
          <w:highlight w:val="none"/>
        </w:rPr>
      </w:pPr>
      <w:r>
        <w:rPr>
          <w:highlight w:val="none"/>
        </w:rPr>
        <w:t xml:space="preserve"> </w:t>
      </w:r>
      <w:r/>
    </w:p>
    <w:p>
      <w:pPr>
        <w:pStyle w:val="869"/>
        <w:jc w:val="both"/>
        <w:spacing w:beforeAutospacing="0" w:afterAutospacing="0" w:line="0" w:lineRule="atLeast"/>
        <w:rPr>
          <w:highlight w:val="none"/>
        </w:rPr>
      </w:pPr>
      <w:r>
        <w:rPr>
          <w:highlight w:val="none"/>
        </w:rPr>
        <w:t xml:space="preserve"> </w:t>
      </w:r>
      <w:r/>
    </w:p>
    <w:p>
      <w:pPr>
        <w:pStyle w:val="869"/>
        <w:jc w:val="both"/>
        <w:spacing w:beforeAutospacing="0" w:afterAutospacing="0" w:line="0" w:lineRule="atLeast"/>
        <w:rPr>
          <w:highlight w:val="none"/>
        </w:rPr>
      </w:pPr>
      <w:r>
        <w:rPr>
          <w:highlight w:val="none"/>
        </w:rPr>
        <w:t xml:space="preserve"> </w:t>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r>
      <w:r/>
    </w:p>
    <w:p>
      <w:pPr>
        <w:pStyle w:val="869"/>
        <w:jc w:val="both"/>
        <w:spacing w:beforeAutospacing="0" w:afterAutospacing="0" w:line="0" w:lineRule="atLeast"/>
        <w:rPr>
          <w:highlight w:val="none"/>
        </w:rPr>
      </w:pPr>
      <w:r>
        <w:rPr>
          <w:highlight w:val="none"/>
        </w:rPr>
        <w:t xml:space="preserve"> </w:t>
      </w:r>
      <w:r/>
    </w:p>
    <w:p>
      <w:pPr>
        <w:pStyle w:val="869"/>
        <w:jc w:val="both"/>
        <w:spacing w:beforeAutospacing="0" w:afterAutospacing="0" w:line="0" w:lineRule="atLeast"/>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shd w:val="nil" w:color="auto"/>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r>
      <w:r/>
    </w:p>
    <w:p>
      <w:pPr>
        <w:pStyle w:val="869"/>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十二、投标分项报价表（分包号：***）</w:t>
      </w:r>
      <w:r/>
    </w:p>
    <w:tbl>
      <w:tblPr>
        <w:tblStyle w:val="856"/>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9"/>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9"/>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9"/>
              <w:jc w:val="both"/>
              <w:spacing w:beforeAutospacing="0" w:afterAutospacing="0"/>
              <w:rPr>
                <w:highlight w:val="none"/>
              </w:rPr>
            </w:pPr>
            <w:r>
              <w:rPr>
                <w:highlight w:val="none"/>
              </w:rPr>
              <w:t xml:space="preserve"> </w:t>
            </w:r>
            <w:r/>
          </w:p>
        </w:tc>
      </w:tr>
    </w:tbl>
    <w:p>
      <w:pPr>
        <w:pStyle w:val="86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69"/>
        <w:jc w:val="both"/>
        <w:spacing w:beforeAutospacing="0" w:afterAutospacing="0"/>
        <w:rPr>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pStyle w:val="869"/>
        <w:jc w:val="both"/>
        <w:spacing w:beforeAutospacing="0" w:afterAutospacing="0"/>
        <w:rPr>
          <w:highlight w:val="none"/>
          <w:shd w:val="clear" w:color="auto" w:fill="auto"/>
        </w:rPr>
      </w:pPr>
      <w:r>
        <w:rPr>
          <w:highlight w:val="none"/>
          <w:shd w:val="clear" w:color="auto" w:fill="auto"/>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869"/>
        <w:jc w:val="center"/>
        <w:spacing w:beforeAutospacing="0" w:afterAutospacing="0"/>
        <w:rPr>
          <w:highlight w:val="none"/>
        </w:rPr>
      </w:pPr>
      <w:r>
        <w:rPr>
          <w:rFonts w:hint="eastAsia" w:ascii="黑体" w:hAnsi="宋体" w:eastAsia="黑体" w:cs="黑体"/>
          <w:b/>
          <w:color w:val="000000"/>
          <w:sz w:val="32"/>
          <w:szCs w:val="32"/>
          <w:highlight w:val="none"/>
        </w:rPr>
        <w:t xml:space="preserve">十三、技术要求响应及偏离表（分包号：**）</w:t>
      </w:r>
      <w:r/>
    </w:p>
    <w:tbl>
      <w:tblPr>
        <w:tblStyle w:val="8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455"/>
        <w:gridCol w:w="893"/>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lang w:val="en-US" w:eastAsia="zh-CN"/>
              </w:rPr>
              <w:t xml:space="preserve">正偏离</w:t>
            </w:r>
            <w:r>
              <w:rPr>
                <w:rFonts w:hint="eastAsia" w:ascii="宋体" w:hAnsi="宋体" w:eastAsia="宋体" w:cs="宋体"/>
                <w:color w:val="000000"/>
                <w:highlight w:val="none"/>
              </w:rPr>
              <w:t xml:space="preserve">、符合或</w:t>
            </w:r>
            <w:r>
              <w:rPr>
                <w:rFonts w:hint="eastAsia" w:ascii="宋体" w:hAnsi="宋体" w:eastAsia="宋体" w:cs="宋体"/>
                <w:color w:val="000000"/>
                <w:highlight w:val="none"/>
                <w:lang w:val="en-US" w:eastAsia="zh-CN"/>
              </w:rPr>
              <w:t xml:space="preserve">负</w:t>
            </w:r>
            <w:r>
              <w:rPr>
                <w:rFonts w:hint="eastAsia" w:ascii="宋体" w:hAnsi="宋体" w:eastAsia="宋体" w:cs="宋体"/>
                <w:color w:val="000000"/>
                <w:highlight w:val="none"/>
              </w:rPr>
              <w:t xml:space="preserve">偏离</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9"/>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69"/>
              <w:jc w:val="center"/>
              <w:spacing w:beforeAutospacing="0" w:afterAutospacing="0"/>
              <w:rPr>
                <w:highlight w:val="none"/>
              </w:rPr>
            </w:pPr>
            <w:r>
              <w:rPr>
                <w:highlight w:val="none"/>
              </w:rPr>
              <w:t xml:space="preserve"> </w:t>
            </w:r>
            <w:r/>
          </w:p>
        </w:tc>
      </w:tr>
    </w:tbl>
    <w:p>
      <w:pPr>
        <w:pStyle w:val="869"/>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pStyle w:val="869"/>
        <w:jc w:val="both"/>
        <w:spacing w:beforeAutospacing="0" w:afterAutospacing="0"/>
        <w:rPr>
          <w:highlight w:val="none"/>
        </w:rPr>
      </w:pPr>
      <w:r>
        <w:rPr>
          <w:highlight w:val="none"/>
        </w:rPr>
        <w:t xml:space="preserve"> </w:t>
      </w:r>
      <w:r/>
    </w:p>
    <w:p>
      <w:pPr>
        <w:shd w:val="nil" w:color="auto"/>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r>
      <w:r/>
    </w:p>
    <w:p>
      <w:pPr>
        <w:pStyle w:val="869"/>
        <w:jc w:val="center"/>
        <w:spacing w:beforeAutospacing="0" w:afterAutospacing="0"/>
        <w:rPr>
          <w:rFonts w:hint="eastAsia" w:ascii="黑体" w:hAnsi="宋体" w:eastAsia="黑体" w:cs="黑体"/>
          <w:b/>
          <w:bCs/>
          <w:color w:val="000000"/>
          <w:sz w:val="32"/>
          <w:szCs w:val="32"/>
          <w:highlight w:val="none"/>
        </w:rPr>
      </w:pPr>
      <w:r/>
      <w:bookmarkStart w:id="189" w:name="_Hlt26955054"/>
      <w:r>
        <w:rPr>
          <w:rFonts w:hint="eastAsia" w:ascii="黑体" w:hAnsi="宋体" w:eastAsia="黑体" w:cs="黑体"/>
          <w:b/>
          <w:color w:val="000000"/>
          <w:sz w:val="32"/>
          <w:szCs w:val="32"/>
          <w:highlight w:val="none"/>
        </w:rPr>
        <w:t xml:space="preserve">十四、商务要求响应及偏离表（分包号：**）</w:t>
      </w:r>
      <w:r/>
    </w:p>
    <w:tbl>
      <w:tblPr>
        <w:tblStyle w:val="8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472"/>
        <w:gridCol w:w="876"/>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bookmarkStart w:id="190" w:name="_Hlt26609391"/>
            <w:r/>
            <w:bookmarkStart w:id="191" w:name="_Hlt24879081"/>
            <w:r/>
            <w:bookmarkStart w:id="192" w:name="_Hlt26955056"/>
            <w:r/>
            <w:bookmarkStart w:id="193" w:name="_Hlt26955064"/>
            <w:r/>
            <w:bookmarkStart w:id="194" w:name="_Hlt26671372"/>
            <w:r/>
            <w:bookmarkStart w:id="195" w:name="_Hlt26580838"/>
            <w:r/>
            <w:bookmarkStart w:id="196" w:name="_Hlt26671343"/>
            <w:r/>
            <w:bookmarkStart w:id="197" w:name="_Hlt26782999"/>
            <w:r>
              <w:rPr>
                <w:rFonts w:hint="eastAsia" w:ascii="宋体" w:hAnsi="宋体" w:eastAsia="宋体" w:cs="宋体"/>
                <w:color w:val="000000"/>
                <w:highlight w:val="none"/>
              </w:rPr>
              <w:t xml:space="preserve">序号</w:t>
            </w:r>
            <w:bookmarkEnd w:id="190"/>
            <w:r/>
            <w:bookmarkEnd w:id="191"/>
            <w:r/>
            <w:bookmarkEnd w:id="192"/>
            <w:r/>
            <w:bookmarkEnd w:id="193"/>
            <w:r/>
            <w:bookmarkEnd w:id="194"/>
            <w:r/>
            <w:bookmarkEnd w:id="195"/>
            <w:r/>
            <w:bookmarkEnd w:id="196"/>
            <w:r/>
            <w:bookmarkEnd w:id="197"/>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lang w:val="en-US" w:eastAsia="zh-CN"/>
              </w:rPr>
              <w:t xml:space="preserve">正偏离</w:t>
            </w:r>
            <w:r>
              <w:rPr>
                <w:rFonts w:hint="eastAsia" w:ascii="宋体" w:hAnsi="宋体" w:eastAsia="宋体" w:cs="宋体"/>
                <w:color w:val="000000"/>
                <w:highlight w:val="none"/>
              </w:rPr>
              <w:t xml:space="preserve">、符合或</w:t>
            </w:r>
            <w:r>
              <w:rPr>
                <w:rFonts w:hint="eastAsia" w:ascii="宋体" w:hAnsi="宋体" w:eastAsia="宋体" w:cs="宋体"/>
                <w:color w:val="000000"/>
                <w:highlight w:val="none"/>
                <w:lang w:val="en-US" w:eastAsia="zh-CN"/>
              </w:rPr>
              <w:t xml:space="preserve">负</w:t>
            </w:r>
            <w:r>
              <w:rPr>
                <w:rFonts w:hint="eastAsia" w:ascii="宋体" w:hAnsi="宋体" w:eastAsia="宋体" w:cs="宋体"/>
                <w:color w:val="000000"/>
                <w:highlight w:val="none"/>
              </w:rPr>
              <w:t xml:space="preserve">偏离</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9"/>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9"/>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69"/>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869"/>
              <w:jc w:val="center"/>
              <w:spacing w:beforeAutospacing="0" w:afterAutospacing="0"/>
              <w:rPr>
                <w:highlight w:val="none"/>
              </w:rPr>
            </w:pPr>
            <w:r>
              <w:rPr>
                <w:highlight w:val="none"/>
              </w:rPr>
              <w:t xml:space="preserve"> </w:t>
            </w:r>
            <w:r/>
          </w:p>
        </w:tc>
      </w:tr>
    </w:tbl>
    <w:p>
      <w:pPr>
        <w:pStyle w:val="869"/>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9"/>
        <w:jc w:val="both"/>
        <w:spacing w:beforeAutospacing="0" w:afterAutospacing="0" w:line="480" w:lineRule="auto"/>
        <w:rPr>
          <w:highlight w:val="none"/>
        </w:rPr>
      </w:pPr>
      <w:r>
        <w:rPr>
          <w:highlight w:val="none"/>
        </w:rPr>
        <w:t xml:space="preserve"> </w:t>
      </w:r>
      <w:r/>
    </w:p>
    <w:p>
      <w:pPr>
        <w:pStyle w:val="869"/>
        <w:jc w:val="both"/>
        <w:spacing w:beforeAutospacing="0" w:afterAutospacing="0" w:line="480" w:lineRule="auto"/>
        <w:rPr>
          <w:highlight w:val="none"/>
        </w:rPr>
      </w:pPr>
      <w:r>
        <w:rPr>
          <w:highlight w:val="none"/>
        </w:rPr>
        <w:t xml:space="preserve"> </w:t>
      </w:r>
      <w:r/>
    </w:p>
    <w:p>
      <w:pPr>
        <w:pStyle w:val="869"/>
        <w:jc w:val="center"/>
        <w:spacing w:beforeAutospacing="0" w:afterAutospacing="0"/>
        <w:rPr>
          <w:highlight w:val="none"/>
        </w:rPr>
      </w:pPr>
      <w:r/>
      <w:bookmarkStart w:id="198" w:name="_Hlt26609389"/>
      <w:r/>
      <w:bookmarkStart w:id="199" w:name="_Hlt26955066"/>
      <w:r/>
      <w:bookmarkStart w:id="200" w:name="_Toc462564146"/>
      <w:r/>
      <w:bookmarkStart w:id="201" w:name="_Hlt26671374"/>
      <w:r/>
      <w:bookmarkStart w:id="202" w:name="_格式2__法定代表人授权书"/>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r>
      <w:r/>
    </w:p>
    <w:p>
      <w:pPr>
        <w:pStyle w:val="869"/>
        <w:jc w:val="center"/>
        <w:spacing w:beforeAutospacing="0" w:afterAutospacing="0"/>
        <w:rPr>
          <w:highlight w:val="none"/>
        </w:rPr>
      </w:pPr>
      <w:r>
        <w:rPr>
          <w:highlight w:val="none"/>
        </w:rPr>
      </w:r>
      <w:r/>
    </w:p>
    <w:p>
      <w:pPr>
        <w:pStyle w:val="869"/>
        <w:jc w:val="center"/>
        <w:spacing w:beforeAutospacing="0" w:afterAutospacing="0"/>
        <w:rPr>
          <w:highlight w:val="none"/>
        </w:rPr>
      </w:pPr>
      <w:r>
        <w:rPr>
          <w:highlight w:val="none"/>
        </w:rPr>
      </w:r>
      <w:r/>
    </w:p>
    <w:p>
      <w:pPr>
        <w:pStyle w:val="869"/>
        <w:jc w:val="center"/>
        <w:spacing w:beforeAutospacing="0" w:afterAutospacing="0"/>
        <w:rPr>
          <w:highlight w:val="none"/>
        </w:rPr>
      </w:pPr>
      <w:r>
        <w:rPr>
          <w:highlight w:val="none"/>
        </w:rPr>
      </w:r>
      <w:r/>
    </w:p>
    <w:p>
      <w:pPr>
        <w:pStyle w:val="869"/>
        <w:jc w:val="center"/>
        <w:spacing w:beforeAutospacing="0" w:afterAutospacing="0"/>
        <w:rPr>
          <w:highlight w:val="none"/>
        </w:rPr>
      </w:pPr>
      <w:r>
        <w:rPr>
          <w:highlight w:val="none"/>
        </w:rPr>
      </w:r>
      <w:r/>
    </w:p>
    <w:p>
      <w:pPr>
        <w:pStyle w:val="869"/>
        <w:jc w:val="center"/>
        <w:spacing w:beforeAutospacing="0" w:afterAutospacing="0"/>
        <w:rPr>
          <w:highlight w:val="none"/>
        </w:rPr>
      </w:pPr>
      <w:r>
        <w:rPr>
          <w:highlight w:val="none"/>
        </w:rPr>
      </w:r>
      <w:r/>
    </w:p>
    <w:p>
      <w:pPr>
        <w:pStyle w:val="869"/>
        <w:jc w:val="center"/>
        <w:spacing w:beforeAutospacing="0" w:afterAutospacing="0"/>
        <w:rPr>
          <w:highlight w:val="none"/>
        </w:rPr>
      </w:pPr>
      <w:r>
        <w:rPr>
          <w:highlight w:val="none"/>
        </w:rPr>
      </w:r>
      <w:r/>
    </w:p>
    <w:p>
      <w:pPr>
        <w:pStyle w:val="869"/>
        <w:jc w:val="center"/>
        <w:spacing w:beforeAutospacing="0" w:afterAutospacing="0"/>
        <w:rPr>
          <w:highlight w:val="none"/>
        </w:rPr>
      </w:pPr>
      <w:r>
        <w:rPr>
          <w:highlight w:val="none"/>
        </w:rPr>
      </w:r>
      <w:r/>
    </w:p>
    <w:p>
      <w:pPr>
        <w:pStyle w:val="869"/>
        <w:jc w:val="center"/>
        <w:spacing w:beforeAutospacing="0" w:afterAutospacing="0"/>
        <w:rPr>
          <w:highlight w:val="none"/>
        </w:rPr>
      </w:pPr>
      <w:r>
        <w:rPr>
          <w:highlight w:val="none"/>
        </w:rPr>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pStyle w:val="869"/>
        <w:jc w:val="center"/>
        <w:spacing w:beforeAutospacing="0" w:afterAutospacing="0"/>
        <w:rPr>
          <w:highlight w:val="none"/>
        </w:rPr>
      </w:pPr>
      <w:r>
        <w:rPr>
          <w:highlight w:val="none"/>
        </w:rPr>
        <w:t xml:space="preserve"> </w:t>
      </w:r>
      <w:r/>
    </w:p>
    <w:p>
      <w:pPr>
        <w:shd w:val="nil" w:color="auto"/>
        <w:rPr>
          <w:highlight w:val="none"/>
        </w:rPr>
      </w:pPr>
      <w:r>
        <w:rPr>
          <w:rFonts w:hint="eastAsia" w:ascii="黑体" w:hAnsi="宋体" w:eastAsia="黑体" w:cs="黑体"/>
          <w:b/>
          <w:i/>
          <w:color w:val="000000"/>
          <w:sz w:val="32"/>
          <w:szCs w:val="32"/>
          <w:highlight w:val="none"/>
          <w:u w:val="single"/>
        </w:rPr>
        <w:br w:type="page" w:clear="all"/>
      </w:r>
      <w:r>
        <w:rPr>
          <w:rFonts w:hint="eastAsia" w:ascii="黑体" w:hAnsi="宋体" w:eastAsia="黑体" w:cs="黑体"/>
          <w:b/>
          <w:i/>
          <w:color w:val="000000"/>
          <w:sz w:val="32"/>
          <w:szCs w:val="32"/>
          <w:highlight w:val="none"/>
          <w:u w:val="single"/>
        </w:rPr>
      </w:r>
      <w:r/>
    </w:p>
    <w:p>
      <w:pPr>
        <w:jc w:val="center"/>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highlight w:val="none"/>
          <w:u w:val="single"/>
        </w:rPr>
        <w:t xml:space="preserve">十五、开标一览表（总价）</w:t>
      </w:r>
      <w:r/>
    </w:p>
    <w:p>
      <w:pPr>
        <w:pStyle w:val="902"/>
      </w:pPr>
      <w:r/>
      <w:r/>
    </w:p>
    <w:p>
      <w:pPr>
        <w:pStyle w:val="886"/>
        <w:jc w:val="center"/>
        <w:rPr>
          <w:rFonts w:ascii="仿宋" w:hAnsi="仿宋" w:eastAsia="仿宋" w:cs="仿宋"/>
          <w:b/>
          <w:color w:val="0000ff"/>
          <w:sz w:val="24"/>
          <w:lang w:val="en-US" w:eastAsia="zh-CN"/>
        </w:rPr>
      </w:pPr>
      <w:r>
        <w:rPr>
          <w:rFonts w:hint="eastAsia" w:ascii="仿宋" w:hAnsi="仿宋" w:eastAsia="仿宋" w:cs="仿宋"/>
          <w:i/>
          <w:iCs/>
          <w:color w:val="0000ff"/>
          <w:sz w:val="32"/>
          <w:szCs w:val="32"/>
          <w:u w:val="single"/>
          <w:lang w:eastAsia="zh-CN"/>
        </w:rPr>
        <w:t xml:space="preserve">（</w:t>
      </w:r>
      <w:r>
        <w:rPr>
          <w:rFonts w:hint="eastAsia" w:ascii="仿宋" w:hAnsi="仿宋" w:eastAsia="仿宋" w:cs="仿宋"/>
          <w:i/>
          <w:iCs/>
          <w:color w:val="0000ff"/>
          <w:sz w:val="32"/>
          <w:szCs w:val="32"/>
          <w:u w:val="single"/>
        </w:rPr>
        <w:t xml:space="preserve">政府采购客户端工具输入报价自动生成</w:t>
      </w:r>
      <w:r>
        <w:rPr>
          <w:rFonts w:hint="eastAsia" w:ascii="仿宋" w:hAnsi="仿宋" w:eastAsia="仿宋" w:cs="仿宋"/>
          <w:i/>
          <w:iCs/>
          <w:color w:val="0000ff"/>
          <w:sz w:val="32"/>
          <w:szCs w:val="32"/>
          <w:u w:val="single"/>
          <w:lang w:eastAsia="zh-CN"/>
        </w:rPr>
        <w:t xml:space="preserve">，</w:t>
      </w:r>
      <w:r>
        <w:rPr>
          <w:rFonts w:hint="eastAsia" w:ascii="仿宋" w:hAnsi="仿宋" w:eastAsia="仿宋" w:cs="仿宋"/>
          <w:i/>
          <w:iCs/>
          <w:color w:val="0000ff"/>
          <w:sz w:val="32"/>
          <w:szCs w:val="32"/>
          <w:u w:val="single"/>
          <w:lang w:val="en-US" w:eastAsia="zh-CN"/>
        </w:rPr>
        <w:t xml:space="preserve">无需单独提供</w:t>
      </w:r>
      <w:r>
        <w:rPr>
          <w:rFonts w:hint="eastAsia" w:ascii="仿宋" w:hAnsi="仿宋" w:eastAsia="仿宋" w:cs="仿宋"/>
          <w:i/>
          <w:iCs/>
          <w:color w:val="0000ff"/>
          <w:sz w:val="32"/>
          <w:szCs w:val="32"/>
          <w:u w:val="single"/>
          <w:lang w:eastAsia="zh-CN"/>
        </w:rPr>
        <w:t xml:space="preserve">）</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rPr>
          <w:rFonts w:ascii="Calibri" w:hAnsi="Calibri" w:eastAsia="Calibri" w:cs="Calibri"/>
          <w:color w:val="000000"/>
          <w:sz w:val="24"/>
        </w:rPr>
        <w:t xml:space="preserve">CA</w:t>
      </w:r>
      <w:r>
        <w:rPr>
          <w:rFonts w:ascii="宋体" w:hAnsi="宋体" w:eastAsia="宋体" w:cs="宋体"/>
          <w:color w:val="000000"/>
          <w:sz w:val="24"/>
        </w:rPr>
        <w:t xml:space="preserve">公章）： 供应商名称</w:t>
      </w:r>
      <w:r>
        <w:rPr>
          <w:rFonts w:ascii="Calibri" w:hAnsi="Calibri" w:eastAsia="Calibri" w:cs="Calibri"/>
          <w:color w:val="000000"/>
          <w:sz w:val="24"/>
        </w:rPr>
        <w:t xml:space="preserve"> </w:t>
      </w:r>
      <w:r/>
    </w:p>
    <w:p>
      <w:pPr>
        <w:ind w:left="0" w:right="0" w:firstLine="0"/>
        <w:spacing w:before="100" w:after="10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江苏省盐城技师学院建筑机器人一体化学习工作站采购项目</w:t>
      </w:r>
      <w:r/>
    </w:p>
    <w:p>
      <w:pPr>
        <w:ind w:left="0" w:right="0" w:firstLine="0"/>
        <w:spacing w:before="100" w:after="10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JSZC-320900-JSJW-G2025-0092</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分包号：</w:t>
      </w:r>
      <w:r>
        <w:rPr>
          <w:rFonts w:ascii="Calibri" w:hAnsi="Calibri" w:eastAsia="Calibri" w:cs="Calibri"/>
          <w:color w:val="000000"/>
          <w:sz w:val="24"/>
        </w:rPr>
        <w:t xml:space="preserve">1</w:t>
      </w:r>
      <w:r/>
    </w:p>
    <w:tbl>
      <w:tblPr>
        <w:tblStyle w:val="8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4153"/>
      </w:tblGrid>
      <w:tr>
        <w:trPr>
          <w:trHeight w:val="8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总价（小写）</w:t>
            </w:r>
            <w:r/>
          </w:p>
        </w:tc>
      </w:tr>
      <w:tr>
        <w:trPr>
          <w:trHeight w:val="82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Pr>
                <w:rFonts w:ascii="宋体" w:hAnsi="宋体" w:eastAsia="宋体" w:cs="宋体"/>
                <w:color w:val="000000"/>
                <w:sz w:val="24"/>
              </w:rPr>
              <w:t xml:space="preserve">投标产品名称</w:t>
            </w: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Pr>
                <w:rFonts w:ascii="宋体" w:hAnsi="宋体" w:eastAsia="宋体" w:cs="宋体"/>
                <w:color w:val="000000"/>
                <w:sz w:val="24"/>
              </w:rPr>
              <w:t xml:space="preserve">元</w:t>
            </w:r>
            <w:r/>
          </w:p>
        </w:tc>
      </w:tr>
      <w:tr>
        <w:trPr>
          <w:trHeight w:val="93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jc w:val="center"/>
              <w:spacing w:before="100" w:after="1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53" w:type="dxa"/>
            <w:vAlign w:val="center"/>
            <w:textDirection w:val="lrTb"/>
            <w:noWrap w:val="false"/>
          </w:tcPr>
          <w:p>
            <w:pPr>
              <w:ind w:left="0" w:right="0" w:firstLine="0"/>
              <w:spacing w:before="100" w:after="100" w:line="240" w:lineRule="auto"/>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c>
      </w:tr>
    </w:tbl>
    <w:p>
      <w:pPr>
        <w:ind w:left="0" w:right="0" w:firstLine="0"/>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0"/>
        <w:jc w:val="right"/>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Calibri" w:hAnsi="Calibri" w:eastAsia="Calibri" w:cs="Calibri"/>
          <w:color w:val="000000"/>
          <w:sz w:val="24"/>
        </w:rPr>
        <w:t xml:space="preserve">      </w:t>
      </w:r>
      <w:r>
        <w:rPr>
          <w:rFonts w:ascii="宋体" w:hAnsi="宋体" w:eastAsia="宋体" w:cs="宋体"/>
          <w:color w:val="000000"/>
          <w:sz w:val="24"/>
        </w:rPr>
        <w:t xml:space="preserve">年      月    日</w:t>
      </w:r>
      <w:r/>
    </w:p>
    <w:p>
      <w:pPr>
        <w:pStyle w:val="869"/>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highlight w:val="none"/>
        </w:rPr>
      </w:pPr>
      <w:r>
        <w:rPr>
          <w:highlight w:val="none"/>
        </w:rPr>
        <w:tab/>
      </w:r>
      <w:r/>
    </w:p>
    <w:p>
      <w:pPr>
        <w:rPr>
          <w:highlight w:val="none"/>
        </w:rPr>
      </w:pPr>
      <w:r>
        <w:rPr>
          <w:highlight w:val="none"/>
        </w:rPr>
        <w:br w:type="page" w:clear="all"/>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十六、根据招标文件“第五章 评标方法与评标标准”的要求需要提供及投标人认为有必要提供的其他材料</w:t>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69"/>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jc w:val="center"/>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69"/>
        <w:jc w:val="center"/>
        <w:spacing w:beforeAutospacing="0" w:afterAutospacing="0"/>
        <w:rPr>
          <w:highlight w:val="none"/>
        </w:rPr>
      </w:pPr>
      <w:r>
        <w:rPr>
          <w:highlight w:val="none"/>
        </w:rPr>
      </w:r>
      <w:bookmarkEnd w:id="6"/>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166"/>
      <w:r/>
      <w:bookmarkEnd w:id="175"/>
      <w:r/>
      <w:bookmarkEnd w:id="182"/>
      <w:r/>
      <w:bookmarkEnd w:id="183"/>
      <w:r/>
      <w:bookmarkEnd w:id="184"/>
      <w:r/>
      <w:bookmarkEnd w:id="185"/>
      <w:r/>
      <w:bookmarkEnd w:id="186"/>
      <w:r/>
      <w:bookmarkEnd w:id="187"/>
      <w:r/>
      <w:bookmarkEnd w:id="188"/>
      <w:r/>
      <w:bookmarkEnd w:id="189"/>
      <w:r/>
      <w:bookmarkEnd w:id="198"/>
      <w:r/>
      <w:bookmarkEnd w:id="199"/>
      <w:r/>
      <w:bookmarkEnd w:id="200"/>
      <w:r/>
      <w:bookmarkEnd w:id="201"/>
      <w:r/>
      <w:bookmarkEnd w:id="202"/>
      <w:r/>
      <w:r/>
    </w:p>
    <w:p>
      <w:pPr>
        <w:shd w:val="nil" w:color="auto"/>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869"/>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69"/>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69"/>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69"/>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69"/>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69"/>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69"/>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9"/>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Cambria">
    <w:panose1 w:val="02040503050406030204"/>
  </w:font>
  <w:font w:name="Wingdings">
    <w:panose1 w:val="05000000000000000000"/>
  </w:font>
  <w:font w:name="华文楷体">
    <w:panose1 w:val="0201060004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1">
    <w:name w:val="Heading 1 Char"/>
    <w:basedOn w:val="855"/>
    <w:link w:val="852"/>
    <w:uiPriority w:val="9"/>
    <w:rPr>
      <w:rFonts w:ascii="Arial" w:hAnsi="Arial" w:eastAsia="Arial" w:cs="Arial"/>
      <w:sz w:val="40"/>
      <w:szCs w:val="40"/>
    </w:rPr>
  </w:style>
  <w:style w:type="character" w:styleId="682">
    <w:name w:val="Heading 2 Char"/>
    <w:basedOn w:val="855"/>
    <w:link w:val="853"/>
    <w:uiPriority w:val="9"/>
    <w:rPr>
      <w:rFonts w:ascii="Arial" w:hAnsi="Arial" w:eastAsia="Arial" w:cs="Arial"/>
      <w:sz w:val="34"/>
    </w:rPr>
  </w:style>
  <w:style w:type="character" w:styleId="683">
    <w:name w:val="Heading 3 Char"/>
    <w:basedOn w:val="855"/>
    <w:link w:val="854"/>
    <w:uiPriority w:val="9"/>
    <w:rPr>
      <w:rFonts w:ascii="Arial" w:hAnsi="Arial" w:eastAsia="Arial" w:cs="Arial"/>
      <w:sz w:val="30"/>
      <w:szCs w:val="30"/>
    </w:rPr>
  </w:style>
  <w:style w:type="paragraph" w:styleId="684">
    <w:name w:val="Heading 4"/>
    <w:basedOn w:val="851"/>
    <w:next w:val="851"/>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855"/>
    <w:link w:val="684"/>
    <w:uiPriority w:val="9"/>
    <w:rPr>
      <w:rFonts w:ascii="Arial" w:hAnsi="Arial" w:eastAsia="Arial" w:cs="Arial"/>
      <w:b/>
      <w:bCs/>
      <w:sz w:val="26"/>
      <w:szCs w:val="26"/>
    </w:rPr>
  </w:style>
  <w:style w:type="paragraph" w:styleId="686">
    <w:name w:val="Heading 5"/>
    <w:basedOn w:val="851"/>
    <w:next w:val="851"/>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55"/>
    <w:link w:val="686"/>
    <w:uiPriority w:val="9"/>
    <w:rPr>
      <w:rFonts w:ascii="Arial" w:hAnsi="Arial" w:eastAsia="Arial" w:cs="Arial"/>
      <w:b/>
      <w:bCs/>
      <w:sz w:val="24"/>
      <w:szCs w:val="24"/>
    </w:rPr>
  </w:style>
  <w:style w:type="paragraph" w:styleId="688">
    <w:name w:val="Heading 6"/>
    <w:basedOn w:val="851"/>
    <w:next w:val="851"/>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5"/>
    <w:link w:val="688"/>
    <w:uiPriority w:val="9"/>
    <w:rPr>
      <w:rFonts w:ascii="Arial" w:hAnsi="Arial" w:eastAsia="Arial" w:cs="Arial"/>
      <w:b/>
      <w:bCs/>
      <w:sz w:val="22"/>
      <w:szCs w:val="22"/>
    </w:rPr>
  </w:style>
  <w:style w:type="paragraph" w:styleId="690">
    <w:name w:val="Heading 7"/>
    <w:basedOn w:val="851"/>
    <w:next w:val="851"/>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5"/>
    <w:link w:val="690"/>
    <w:uiPriority w:val="9"/>
    <w:rPr>
      <w:rFonts w:ascii="Arial" w:hAnsi="Arial" w:eastAsia="Arial" w:cs="Arial"/>
      <w:b/>
      <w:bCs/>
      <w:i/>
      <w:iCs/>
      <w:sz w:val="22"/>
      <w:szCs w:val="22"/>
    </w:rPr>
  </w:style>
  <w:style w:type="paragraph" w:styleId="692">
    <w:name w:val="Heading 8"/>
    <w:basedOn w:val="851"/>
    <w:next w:val="851"/>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5"/>
    <w:link w:val="692"/>
    <w:uiPriority w:val="9"/>
    <w:rPr>
      <w:rFonts w:ascii="Arial" w:hAnsi="Arial" w:eastAsia="Arial" w:cs="Arial"/>
      <w:i/>
      <w:iCs/>
      <w:sz w:val="22"/>
      <w:szCs w:val="22"/>
    </w:rPr>
  </w:style>
  <w:style w:type="paragraph" w:styleId="694">
    <w:name w:val="Heading 9"/>
    <w:basedOn w:val="851"/>
    <w:next w:val="851"/>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5"/>
    <w:link w:val="694"/>
    <w:uiPriority w:val="9"/>
    <w:rPr>
      <w:rFonts w:ascii="Arial" w:hAnsi="Arial" w:eastAsia="Arial" w:cs="Arial"/>
      <w:i/>
      <w:iCs/>
      <w:sz w:val="21"/>
      <w:szCs w:val="21"/>
    </w:rPr>
  </w:style>
  <w:style w:type="paragraph" w:styleId="696">
    <w:name w:val="No Spacing"/>
    <w:uiPriority w:val="1"/>
    <w:qFormat/>
    <w:pPr>
      <w:spacing w:before="0" w:after="0" w:line="240" w:lineRule="auto"/>
    </w:pPr>
  </w:style>
  <w:style w:type="paragraph" w:styleId="697">
    <w:name w:val="Title"/>
    <w:basedOn w:val="851"/>
    <w:next w:val="851"/>
    <w:link w:val="698"/>
    <w:uiPriority w:val="10"/>
    <w:qFormat/>
    <w:pPr>
      <w:contextualSpacing/>
      <w:spacing w:before="300" w:after="200"/>
    </w:pPr>
    <w:rPr>
      <w:sz w:val="48"/>
      <w:szCs w:val="48"/>
    </w:rPr>
  </w:style>
  <w:style w:type="character" w:styleId="698">
    <w:name w:val="Title Char"/>
    <w:basedOn w:val="855"/>
    <w:link w:val="697"/>
    <w:uiPriority w:val="10"/>
    <w:rPr>
      <w:sz w:val="48"/>
      <w:szCs w:val="48"/>
    </w:rPr>
  </w:style>
  <w:style w:type="paragraph" w:styleId="699">
    <w:name w:val="Subtitle"/>
    <w:basedOn w:val="851"/>
    <w:next w:val="851"/>
    <w:link w:val="700"/>
    <w:uiPriority w:val="11"/>
    <w:qFormat/>
    <w:pPr>
      <w:spacing w:before="200" w:after="200"/>
    </w:pPr>
    <w:rPr>
      <w:sz w:val="24"/>
      <w:szCs w:val="24"/>
    </w:rPr>
  </w:style>
  <w:style w:type="character" w:styleId="700">
    <w:name w:val="Subtitle Char"/>
    <w:basedOn w:val="855"/>
    <w:link w:val="699"/>
    <w:uiPriority w:val="11"/>
    <w:rPr>
      <w:sz w:val="24"/>
      <w:szCs w:val="24"/>
    </w:rPr>
  </w:style>
  <w:style w:type="paragraph" w:styleId="701">
    <w:name w:val="Quote"/>
    <w:basedOn w:val="851"/>
    <w:next w:val="851"/>
    <w:link w:val="702"/>
    <w:uiPriority w:val="29"/>
    <w:qFormat/>
    <w:pPr>
      <w:ind w:left="720" w:right="720"/>
    </w:pPr>
    <w:rPr>
      <w:i/>
    </w:rPr>
  </w:style>
  <w:style w:type="character" w:styleId="702">
    <w:name w:val="Quote Char"/>
    <w:link w:val="701"/>
    <w:uiPriority w:val="29"/>
    <w:rPr>
      <w:i/>
    </w:rPr>
  </w:style>
  <w:style w:type="paragraph" w:styleId="703">
    <w:name w:val="Intense Quote"/>
    <w:basedOn w:val="851"/>
    <w:next w:val="85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5"/>
    <w:link w:val="867"/>
    <w:uiPriority w:val="99"/>
  </w:style>
  <w:style w:type="character" w:styleId="706">
    <w:name w:val="Footer Char"/>
    <w:basedOn w:val="855"/>
    <w:link w:val="866"/>
    <w:uiPriority w:val="99"/>
  </w:style>
  <w:style w:type="paragraph" w:styleId="707">
    <w:name w:val="Caption"/>
    <w:basedOn w:val="851"/>
    <w:next w:val="851"/>
    <w:uiPriority w:val="35"/>
    <w:semiHidden/>
    <w:unhideWhenUsed/>
    <w:qFormat/>
    <w:pPr>
      <w:spacing w:line="276" w:lineRule="auto"/>
    </w:pPr>
    <w:rPr>
      <w:b/>
      <w:bCs/>
      <w:color w:val="4f81bd" w:themeColor="accent1"/>
      <w:sz w:val="18"/>
      <w:szCs w:val="18"/>
    </w:rPr>
  </w:style>
  <w:style w:type="character" w:styleId="708">
    <w:name w:val="Caption Char"/>
    <w:basedOn w:val="707"/>
    <w:link w:val="866"/>
    <w:uiPriority w:val="99"/>
  </w:style>
  <w:style w:type="table" w:styleId="709">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5">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9">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4">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7">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1">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1">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5">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8">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2">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2">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6">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1"/>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5"/>
    <w:uiPriority w:val="99"/>
    <w:unhideWhenUsed/>
    <w:rPr>
      <w:vertAlign w:val="superscript"/>
    </w:rPr>
  </w:style>
  <w:style w:type="paragraph" w:styleId="838">
    <w:name w:val="endnote text"/>
    <w:basedOn w:val="851"/>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5"/>
    <w:uiPriority w:val="99"/>
    <w:semiHidden/>
    <w:unhideWhenUsed/>
    <w:rPr>
      <w:vertAlign w:val="superscript"/>
    </w:r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next w:val="85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2">
    <w:name w:val="Heading 1"/>
    <w:basedOn w:val="851"/>
    <w:next w:val="851"/>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853">
    <w:name w:val="Heading 2"/>
    <w:basedOn w:val="851"/>
    <w:next w:val="85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54">
    <w:name w:val="Heading 3"/>
    <w:basedOn w:val="851"/>
    <w:next w:val="851"/>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customStyle="1">
    <w:name w:val="正文首行缩进 211"/>
    <w:basedOn w:val="858"/>
    <w:next w:val="860"/>
    <w:uiPriority w:val="0"/>
    <w:qFormat/>
    <w:pPr>
      <w:ind w:left="420" w:firstLine="420"/>
      <w:spacing w:after="120"/>
    </w:pPr>
    <w:rPr>
      <w:sz w:val="21"/>
      <w:szCs w:val="24"/>
    </w:rPr>
  </w:style>
  <w:style w:type="paragraph" w:styleId="858" w:customStyle="1">
    <w:name w:val="正文文本缩进11"/>
    <w:basedOn w:val="851"/>
    <w:next w:val="859"/>
    <w:uiPriority w:val="99"/>
    <w:qFormat/>
    <w:pPr>
      <w:ind w:left="-105" w:firstLine="232"/>
    </w:pPr>
    <w:rPr>
      <w:rFonts w:eastAsia="仿宋_GB2312"/>
      <w:sz w:val="32"/>
      <w:szCs w:val="32"/>
    </w:rPr>
  </w:style>
  <w:style w:type="paragraph" w:styleId="859" w:customStyle="1">
    <w:name w:val="寄信人地址11"/>
    <w:basedOn w:val="851"/>
    <w:uiPriority w:val="0"/>
    <w:qFormat/>
    <w:rPr>
      <w:rFonts w:ascii="Arial" w:hAnsi="Arial" w:cs="Arial"/>
    </w:rPr>
  </w:style>
  <w:style w:type="paragraph" w:styleId="860" w:customStyle="1">
    <w:name w:val="样式 标题 3 + (中文) 黑体 小四 非加粗 段前: 7.8 磅 段后: 0 磅 行距: 固定值 20 磅_0"/>
    <w:basedOn w:val="851"/>
    <w:uiPriority w:val="0"/>
    <w:qFormat/>
    <w:pPr>
      <w:keepLines/>
      <w:keepNext/>
      <w:spacing w:line="400" w:lineRule="exact"/>
      <w:outlineLvl w:val="2"/>
    </w:pPr>
    <w:rPr>
      <w:rFonts w:eastAsia="黑体" w:cs="宋体"/>
      <w:szCs w:val="21"/>
    </w:rPr>
  </w:style>
  <w:style w:type="paragraph" w:styleId="861">
    <w:name w:val="annotation text"/>
    <w:basedOn w:val="851"/>
    <w:uiPriority w:val="0"/>
    <w:qFormat/>
    <w:pPr>
      <w:jc w:val="left"/>
    </w:pPr>
  </w:style>
  <w:style w:type="paragraph" w:styleId="862">
    <w:name w:val="Body Text"/>
    <w:basedOn w:val="851"/>
    <w:next w:val="851"/>
    <w:uiPriority w:val="0"/>
    <w:unhideWhenUsed/>
    <w:qFormat/>
    <w:pPr>
      <w:spacing w:after="120"/>
    </w:pPr>
    <w:rPr>
      <w:rFonts w:ascii="Calibri" w:hAnsi="Calibri"/>
      <w:szCs w:val="22"/>
    </w:rPr>
  </w:style>
  <w:style w:type="paragraph" w:styleId="863">
    <w:name w:val="Body Text Indent"/>
    <w:basedOn w:val="851"/>
    <w:next w:val="864"/>
    <w:uiPriority w:val="0"/>
    <w:qFormat/>
    <w:pPr>
      <w:ind w:left="420"/>
      <w:spacing w:after="120"/>
    </w:pPr>
  </w:style>
  <w:style w:type="paragraph" w:styleId="864">
    <w:name w:val="envelope return"/>
    <w:basedOn w:val="851"/>
    <w:uiPriority w:val="0"/>
    <w:qFormat/>
    <w:pPr>
      <w:spacing w:line="360" w:lineRule="auto"/>
    </w:pPr>
    <w:rPr>
      <w:rFonts w:ascii="Arial" w:hAnsi="Arial" w:eastAsia="仿宋" w:cs="Arial"/>
      <w:sz w:val="28"/>
      <w:szCs w:val="21"/>
    </w:rPr>
  </w:style>
  <w:style w:type="paragraph" w:styleId="865">
    <w:name w:val="Plain Text"/>
    <w:basedOn w:val="851"/>
    <w:uiPriority w:val="0"/>
    <w:unhideWhenUsed/>
    <w:qFormat/>
    <w:rPr>
      <w:rFonts w:ascii="宋体" w:hAnsi="Courier New" w:cs="Courier New"/>
      <w:szCs w:val="21"/>
    </w:rPr>
  </w:style>
  <w:style w:type="paragraph" w:styleId="866">
    <w:name w:val="Footer"/>
    <w:basedOn w:val="851"/>
    <w:link w:val="877"/>
    <w:uiPriority w:val="0"/>
    <w:qFormat/>
    <w:pPr>
      <w:jc w:val="left"/>
      <w:tabs>
        <w:tab w:val="center" w:pos="4153" w:leader="none"/>
        <w:tab w:val="right" w:pos="8306" w:leader="none"/>
      </w:tabs>
    </w:pPr>
    <w:rPr>
      <w:sz w:val="18"/>
      <w:szCs w:val="18"/>
    </w:rPr>
  </w:style>
  <w:style w:type="paragraph" w:styleId="867">
    <w:name w:val="Header"/>
    <w:basedOn w:val="851"/>
    <w:link w:val="876"/>
    <w:uiPriority w:val="0"/>
    <w:qFormat/>
    <w:pPr>
      <w:jc w:val="center"/>
      <w:tabs>
        <w:tab w:val="center" w:pos="4153" w:leader="none"/>
        <w:tab w:val="right" w:pos="8306" w:leader="none"/>
      </w:tabs>
      <w:pBdr>
        <w:bottom w:val="single" w:color="auto" w:sz="6" w:space="1"/>
      </w:pBdr>
    </w:pPr>
    <w:rPr>
      <w:sz w:val="18"/>
      <w:szCs w:val="18"/>
    </w:rPr>
  </w:style>
  <w:style w:type="paragraph" w:styleId="868">
    <w:name w:val="toc 1"/>
    <w:basedOn w:val="851"/>
    <w:next w:val="851"/>
    <w:uiPriority w:val="0"/>
    <w:qFormat/>
    <w:rPr>
      <w:rFonts w:ascii="Times New Roman" w:hAnsi="Times New Roman"/>
    </w:rPr>
  </w:style>
  <w:style w:type="paragraph" w:styleId="869">
    <w:name w:val="Normal (Web)"/>
    <w:basedOn w:val="851"/>
    <w:uiPriority w:val="0"/>
    <w:qFormat/>
    <w:pPr>
      <w:jc w:val="left"/>
      <w:spacing w:beforeAutospacing="1" w:afterAutospacing="1"/>
    </w:pPr>
    <w:rPr>
      <w:rFonts w:cs="Times New Roman"/>
      <w:sz w:val="24"/>
    </w:rPr>
  </w:style>
  <w:style w:type="paragraph" w:styleId="870">
    <w:name w:val="Body Text First Indent"/>
    <w:basedOn w:val="862"/>
    <w:next w:val="851"/>
    <w:uiPriority w:val="99"/>
    <w:unhideWhenUsed/>
    <w:qFormat/>
    <w:pPr>
      <w:ind w:firstLine="420"/>
    </w:pPr>
  </w:style>
  <w:style w:type="paragraph" w:styleId="871">
    <w:name w:val="Body Text First Indent 2"/>
    <w:basedOn w:val="863"/>
    <w:next w:val="860"/>
    <w:uiPriority w:val="0"/>
    <w:qFormat/>
    <w:pPr>
      <w:ind w:firstLine="420"/>
      <w:spacing w:line="360" w:lineRule="auto"/>
    </w:pPr>
    <w:rPr>
      <w:rFonts w:ascii="宋体" w:eastAsia="仿宋"/>
      <w:sz w:val="24"/>
      <w:szCs w:val="21"/>
    </w:rPr>
  </w:style>
  <w:style w:type="table" w:styleId="8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Strong"/>
    <w:basedOn w:val="855"/>
    <w:uiPriority w:val="0"/>
    <w:qFormat/>
    <w:rPr>
      <w:b/>
    </w:rPr>
  </w:style>
  <w:style w:type="paragraph" w:styleId="874" w:customStyle="1">
    <w:name w:val="正文缩进1"/>
    <w:basedOn w:val="851"/>
    <w:uiPriority w:val="0"/>
    <w:qFormat/>
    <w:pPr>
      <w:ind w:firstLine="420"/>
    </w:pPr>
  </w:style>
  <w:style w:type="paragraph" w:styleId="875" w:customStyle="1">
    <w:name w:val="Default"/>
    <w:basedOn w:val="851"/>
    <w:uiPriority w:val="0"/>
    <w:semiHidden/>
    <w:qFormat/>
    <w:pPr>
      <w:jc w:val="left"/>
    </w:pPr>
    <w:rPr>
      <w:rFonts w:ascii="宋体" w:hAnsi="Calibri" w:cs="宋体"/>
      <w:color w:val="000000"/>
      <w:sz w:val="24"/>
    </w:rPr>
  </w:style>
  <w:style w:type="character" w:styleId="876" w:customStyle="1">
    <w:name w:val="页眉 Char"/>
    <w:basedOn w:val="855"/>
    <w:link w:val="867"/>
    <w:uiPriority w:val="0"/>
    <w:qFormat/>
    <w:rPr>
      <w:rFonts w:asciiTheme="minorHAnsi" w:hAnsiTheme="minorHAnsi" w:eastAsiaTheme="minorEastAsia" w:cstheme="minorBidi"/>
      <w:sz w:val="18"/>
      <w:szCs w:val="18"/>
    </w:rPr>
  </w:style>
  <w:style w:type="character" w:styleId="877" w:customStyle="1">
    <w:name w:val="页脚 Char"/>
    <w:basedOn w:val="855"/>
    <w:link w:val="866"/>
    <w:uiPriority w:val="0"/>
    <w:qFormat/>
    <w:rPr>
      <w:rFonts w:asciiTheme="minorHAnsi" w:hAnsiTheme="minorHAnsi" w:eastAsiaTheme="minorEastAsia" w:cstheme="minorBidi"/>
      <w:sz w:val="18"/>
      <w:szCs w:val="18"/>
    </w:rPr>
  </w:style>
  <w:style w:type="paragraph" w:styleId="87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9" w:customStyle="1">
    <w:name w:val="页脚1"/>
    <w:basedOn w:val="851"/>
    <w:uiPriority w:val="99"/>
    <w:unhideWhenUsed/>
    <w:qFormat/>
    <w:pPr>
      <w:jc w:val="left"/>
      <w:tabs>
        <w:tab w:val="center" w:pos="4153" w:leader="none"/>
        <w:tab w:val="right" w:pos="8306" w:leader="none"/>
      </w:tabs>
    </w:pPr>
    <w:rPr>
      <w:sz w:val="18"/>
      <w:szCs w:val="18"/>
    </w:rPr>
  </w:style>
  <w:style w:type="paragraph" w:styleId="880" w:customStyle="1">
    <w:name w:val="普通正文"/>
    <w:basedOn w:val="851"/>
    <w:uiPriority w:val="0"/>
    <w:qFormat/>
    <w:pPr>
      <w:ind w:firstLine="480"/>
      <w:jc w:val="left"/>
      <w:spacing w:before="120" w:after="120" w:line="360" w:lineRule="auto"/>
    </w:pPr>
    <w:rPr>
      <w:rFonts w:ascii="Arial" w:hAnsi="Arial" w:eastAsia="等线" w:cs="Arial"/>
      <w:sz w:val="24"/>
      <w:szCs w:val="24"/>
    </w:rPr>
  </w:style>
  <w:style w:type="paragraph" w:styleId="881" w:customStyle="1">
    <w:name w:val="正文首行缩进 21"/>
    <w:basedOn w:val="882"/>
    <w:uiPriority w:val="0"/>
    <w:qFormat/>
    <w:pPr>
      <w:ind w:firstLine="420"/>
    </w:pPr>
  </w:style>
  <w:style w:type="paragraph" w:styleId="882" w:customStyle="1">
    <w:name w:val="正文文本缩进1"/>
    <w:basedOn w:val="851"/>
    <w:next w:val="883"/>
    <w:uiPriority w:val="0"/>
    <w:qFormat/>
    <w:pPr>
      <w:ind w:left="420"/>
      <w:spacing w:after="120"/>
    </w:pPr>
  </w:style>
  <w:style w:type="paragraph" w:styleId="883" w:customStyle="1">
    <w:name w:val="寄信人地址1"/>
    <w:basedOn w:val="884"/>
    <w:uiPriority w:val="0"/>
    <w:qFormat/>
    <w:rPr>
      <w:rFonts w:ascii="Arial" w:hAnsi="Arial"/>
    </w:rPr>
  </w:style>
  <w:style w:type="paragraph" w:styleId="884" w:customStyle="1">
    <w:name w:val="正文11"/>
    <w:next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文本块1"/>
    <w:basedOn w:val="886"/>
    <w:next w:val="891"/>
    <w:uiPriority w:val="0"/>
    <w:qFormat/>
    <w:pPr>
      <w:ind w:left="420" w:right="33"/>
      <w:jc w:val="left"/>
    </w:pPr>
    <w:rPr>
      <w:sz w:val="24"/>
      <w:szCs w:val="20"/>
    </w:rPr>
  </w:style>
  <w:style w:type="paragraph" w:styleId="886" w:customStyle="1">
    <w:name w:val="正文1"/>
    <w:basedOn w:val="887"/>
    <w:next w:val="888"/>
    <w:uiPriority w:val="0"/>
    <w:qFormat/>
    <w:pPr>
      <w:jc w:val="both"/>
      <w:widowControl w:val="off"/>
    </w:pPr>
    <w:rPr>
      <w:rFonts w:ascii="Times New Roman" w:hAnsi="Times New Roman" w:eastAsia="宋体" w:cs="Times New Roman"/>
      <w:sz w:val="21"/>
      <w:szCs w:val="24"/>
      <w:lang w:val="en-US" w:eastAsia="zh-CN" w:bidi="ar-SA"/>
    </w:rPr>
  </w:style>
  <w:style w:type="paragraph" w:styleId="887" w:customStyle="1">
    <w:name w:val="正文111"/>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目录 11"/>
    <w:basedOn w:val="886"/>
    <w:next w:val="889"/>
    <w:uiPriority w:val="0"/>
    <w:qFormat/>
  </w:style>
  <w:style w:type="paragraph" w:styleId="889" w:customStyle="1">
    <w:name w:val="正文12"/>
    <w:next w:val="89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90" w:customStyle="1">
    <w:name w:val="正文文本111"/>
    <w:basedOn w:val="889"/>
    <w:next w:val="889"/>
    <w:uiPriority w:val="0"/>
    <w:qFormat/>
  </w:style>
  <w:style w:type="paragraph" w:styleId="891" w:customStyle="1">
    <w:name w:val="标题 41"/>
    <w:basedOn w:val="889"/>
    <w:next w:val="851"/>
    <w:uiPriority w:val="0"/>
    <w:qFormat/>
    <w:pPr>
      <w:keepLines/>
      <w:keepNext/>
      <w:spacing w:before="280" w:after="290" w:line="376" w:lineRule="auto"/>
      <w:outlineLvl w:val="3"/>
    </w:pPr>
    <w:rPr>
      <w:rFonts w:ascii="Cambria" w:hAnsi="Cambria"/>
      <w:b/>
      <w:bCs/>
      <w:sz w:val="28"/>
      <w:szCs w:val="28"/>
    </w:rPr>
  </w:style>
  <w:style w:type="paragraph" w:styleId="892" w:customStyle="1">
    <w:name w:val="普通(网站)12"/>
    <w:basedOn w:val="851"/>
    <w:uiPriority w:val="0"/>
    <w:qFormat/>
    <w:pPr>
      <w:jc w:val="left"/>
      <w:spacing w:beforeAutospacing="1" w:afterAutospacing="1"/>
    </w:pPr>
    <w:rPr>
      <w:rFonts w:cs="Times New Roman"/>
      <w:sz w:val="24"/>
    </w:rPr>
  </w:style>
  <w:style w:type="paragraph" w:styleId="893" w:customStyle="1">
    <w:name w:val="普通(网站)11"/>
    <w:basedOn w:val="851"/>
    <w:uiPriority w:val="0"/>
    <w:qFormat/>
    <w:pPr>
      <w:jc w:val="left"/>
      <w:spacing w:beforeAutospacing="1" w:afterAutospacing="1"/>
    </w:pPr>
    <w:rPr>
      <w:rFonts w:cs="Times New Roman"/>
      <w:sz w:val="24"/>
    </w:rPr>
  </w:style>
  <w:style w:type="paragraph" w:styleId="894" w:customStyle="1">
    <w:name w:val="Heading 21"/>
    <w:basedOn w:val="851"/>
    <w:next w:val="851"/>
    <w:uiPriority w:val="0"/>
    <w:unhideWhenUsed/>
    <w:qFormat/>
    <w:pPr>
      <w:jc w:val="left"/>
      <w:spacing w:beforeAutospacing="1" w:afterAutospacing="1"/>
      <w:outlineLvl w:val="1"/>
    </w:pPr>
    <w:rPr>
      <w:rFonts w:hint="eastAsia" w:ascii="宋体" w:hAnsi="宋体" w:eastAsia="宋体" w:cs="Times New Roman"/>
      <w:b/>
      <w:bCs/>
      <w:sz w:val="36"/>
      <w:szCs w:val="36"/>
    </w:rPr>
  </w:style>
  <w:style w:type="character" w:styleId="895" w:customStyle="1">
    <w:name w:val="font101"/>
    <w:basedOn w:val="855"/>
    <w:uiPriority w:val="0"/>
    <w:qFormat/>
    <w:rPr>
      <w:rFonts w:hint="eastAsia" w:ascii="宋体" w:hAnsi="宋体" w:eastAsia="宋体" w:cs="宋体"/>
      <w:color w:val="ff0000"/>
      <w:sz w:val="22"/>
      <w:szCs w:val="22"/>
      <w:u w:val="none"/>
    </w:rPr>
  </w:style>
  <w:style w:type="character" w:styleId="896" w:customStyle="1">
    <w:name w:val="font01"/>
    <w:basedOn w:val="855"/>
    <w:uiPriority w:val="0"/>
    <w:qFormat/>
    <w:rPr>
      <w:rFonts w:hint="eastAsia" w:ascii="宋体" w:hAnsi="宋体" w:eastAsia="宋体" w:cs="宋体"/>
      <w:color w:val="000000"/>
      <w:sz w:val="22"/>
      <w:szCs w:val="22"/>
      <w:u w:val="none"/>
    </w:rPr>
  </w:style>
  <w:style w:type="character" w:styleId="897" w:customStyle="1">
    <w:name w:val="font51"/>
    <w:basedOn w:val="855"/>
    <w:uiPriority w:val="0"/>
    <w:qFormat/>
    <w:rPr>
      <w:rFonts w:hint="eastAsia" w:ascii="宋体" w:hAnsi="宋体" w:eastAsia="宋体" w:cs="宋体"/>
      <w:color w:val="000000"/>
      <w:sz w:val="20"/>
      <w:szCs w:val="20"/>
      <w:u w:val="none"/>
    </w:rPr>
  </w:style>
  <w:style w:type="character" w:styleId="898" w:customStyle="1">
    <w:name w:val="font81"/>
    <w:basedOn w:val="855"/>
    <w:uiPriority w:val="0"/>
    <w:qFormat/>
    <w:rPr>
      <w:rFonts w:hint="eastAsia" w:ascii="宋体" w:hAnsi="宋体" w:eastAsia="宋体" w:cs="宋体"/>
      <w:color w:val="ff0000"/>
      <w:sz w:val="20"/>
      <w:szCs w:val="20"/>
      <w:u w:val="none"/>
    </w:rPr>
  </w:style>
  <w:style w:type="character" w:styleId="899" w:customStyle="1">
    <w:name w:val="font41"/>
    <w:basedOn w:val="855"/>
    <w:uiPriority w:val="0"/>
    <w:qFormat/>
    <w:rPr>
      <w:rFonts w:hint="eastAsia" w:ascii="宋体" w:hAnsi="宋体" w:eastAsia="宋体" w:cs="宋体"/>
      <w:color w:val="000000"/>
      <w:sz w:val="20"/>
      <w:szCs w:val="20"/>
      <w:u w:val="none"/>
    </w:rPr>
  </w:style>
  <w:style w:type="character" w:styleId="900" w:customStyle="1">
    <w:name w:val="font112"/>
    <w:basedOn w:val="855"/>
    <w:uiPriority w:val="0"/>
    <w:qFormat/>
    <w:rPr>
      <w:rFonts w:hint="default" w:ascii="Times New Roman" w:hAnsi="Times New Roman" w:cs="Times New Roman"/>
      <w:color w:val="000000"/>
      <w:sz w:val="20"/>
      <w:szCs w:val="20"/>
      <w:u w:val="none"/>
    </w:rPr>
  </w:style>
  <w:style w:type="paragraph" w:styleId="901" w:customStyle="1">
    <w:name w:val="Table Text"/>
    <w:basedOn w:val="851"/>
    <w:uiPriority w:val="0"/>
    <w:semiHidden/>
    <w:qFormat/>
    <w:rPr>
      <w:rFonts w:ascii="宋体" w:hAnsi="宋体" w:eastAsia="宋体" w:cs="宋体"/>
      <w:sz w:val="24"/>
      <w:szCs w:val="24"/>
    </w:rPr>
  </w:style>
  <w:style w:type="paragraph" w:styleId="902" w:customStyle="1">
    <w:name w:val="正文首行缩进11"/>
    <w:basedOn w:val="851"/>
    <w:next w:val="851"/>
    <w:uiPriority w:val="99"/>
    <w:unhideWhenUsed/>
    <w:qFormat/>
    <w:pPr>
      <w:ind w:firstLine="420"/>
    </w:pPr>
    <w:rPr>
      <w:rFonts w:ascii="Times New Roman" w:hAnsi="Times New Roman"/>
    </w:rPr>
  </w:style>
  <w:style w:type="paragraph" w:styleId="903">
    <w:name w:val="List Paragraph"/>
    <w:basedOn w:val="851"/>
    <w:uiPriority w:val="34"/>
    <w:qFormat/>
    <w:pPr>
      <w:ind w:firstLine="420"/>
    </w:pPr>
  </w:style>
  <w:style w:type="numbering" w:styleId="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朱艳艳</cp:lastModifiedBy>
  <cp:revision>123</cp:revision>
  <dcterms:created xsi:type="dcterms:W3CDTF">2014-10-29T12:08:00Z</dcterms:created>
  <dcterms:modified xsi:type="dcterms:W3CDTF">2025-12-02T09:08:01Z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2052-11.1.0.11372</vt:lpwstr>
  </property>
  <property fmtid="{D5CDD505-2E9C-101B-9397-08002B2CF9AE}" pid="3" name="ICV">
    <vt:lpwstr>39A3E2524F44455881721A2351DE0AB4</vt:lpwstr>
  </property>
  <property fmtid="{D5CDD505-2E9C-101B-9397-08002B2CF9AE}" pid="4" name="KSOTemplateDocerSaveRecord">
    <vt:lpwstr>eyJoZGlkIjoiZTM5NjQ4MDViNzI1OGY2YzE4MzhiZmY5ZTY1YTkxNGYiLCJ1c2VySWQiOiIxNjcxMTcxMDA3In0=</vt:lpwstr>
  </property>
</Properties>
</file>